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407E" w14:textId="53186751" w:rsidR="006F5FD0" w:rsidRPr="00B33EE6" w:rsidRDefault="006F5FD0" w:rsidP="00347E84">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00D68035" w:rsidR="006F5FD0" w:rsidRPr="00B33EE6" w:rsidRDefault="009D2D7B" w:rsidP="00347E84">
      <w:pPr>
        <w:jc w:val="center"/>
        <w:rPr>
          <w:sz w:val="28"/>
          <w:szCs w:val="28"/>
          <w:lang w:val="en-GB"/>
        </w:rPr>
      </w:pPr>
      <w:r w:rsidRPr="009D2D7B">
        <w:rPr>
          <w:rStyle w:val="Strong"/>
          <w:sz w:val="28"/>
          <w:szCs w:val="28"/>
          <w:lang w:val="en-GB"/>
        </w:rPr>
        <w:t xml:space="preserve">Procurement of </w:t>
      </w:r>
      <w:r w:rsidR="00165410" w:rsidRPr="00165410">
        <w:rPr>
          <w:rStyle w:val="Strong"/>
          <w:sz w:val="28"/>
          <w:szCs w:val="28"/>
          <w:lang w:val="en-GB"/>
        </w:rPr>
        <w:t xml:space="preserve">equipment for </w:t>
      </w:r>
      <w:r w:rsidR="004A05F3">
        <w:rPr>
          <w:rStyle w:val="Strong"/>
          <w:sz w:val="28"/>
          <w:szCs w:val="28"/>
          <w:lang w:val="en-GB"/>
        </w:rPr>
        <w:t xml:space="preserve">Experimental Demonstration </w:t>
      </w:r>
      <w:r w:rsidR="00165410" w:rsidRPr="00165410">
        <w:rPr>
          <w:rStyle w:val="Strong"/>
          <w:sz w:val="28"/>
          <w:szCs w:val="28"/>
          <w:lang w:val="en-GB"/>
        </w:rPr>
        <w:t>centre for Turbot farming</w:t>
      </w:r>
      <w:r w:rsidR="006F5FD0" w:rsidRPr="00B33EE6">
        <w:rPr>
          <w:rStyle w:val="Strong"/>
          <w:sz w:val="28"/>
          <w:szCs w:val="28"/>
          <w:lang w:val="en-GB"/>
        </w:rPr>
        <w:br/>
      </w:r>
      <w:r w:rsidR="006F5FD0" w:rsidRPr="00A421E5">
        <w:rPr>
          <w:rStyle w:val="Strong"/>
          <w:sz w:val="28"/>
          <w:szCs w:val="28"/>
          <w:lang w:val="en-GB"/>
        </w:rPr>
        <w:t xml:space="preserve">Location </w:t>
      </w:r>
      <w:r w:rsidRPr="00A421E5">
        <w:rPr>
          <w:rStyle w:val="Strong"/>
          <w:sz w:val="28"/>
          <w:szCs w:val="28"/>
          <w:lang w:val="en-GB"/>
        </w:rPr>
        <w:t>–</w:t>
      </w:r>
      <w:r w:rsidR="006F5FD0" w:rsidRPr="00B33EE6">
        <w:rPr>
          <w:rStyle w:val="Strong"/>
          <w:sz w:val="28"/>
          <w:szCs w:val="28"/>
          <w:lang w:val="en-GB"/>
        </w:rPr>
        <w:t xml:space="preserve"> </w:t>
      </w:r>
      <w:r w:rsidR="00165410">
        <w:rPr>
          <w:rStyle w:val="Strong"/>
          <w:sz w:val="28"/>
          <w:szCs w:val="28"/>
          <w:lang w:val="en-GB"/>
        </w:rPr>
        <w:t>Kotor</w:t>
      </w:r>
      <w:r>
        <w:rPr>
          <w:rStyle w:val="Strong"/>
          <w:sz w:val="28"/>
          <w:szCs w:val="28"/>
          <w:lang w:val="en-GB"/>
        </w:rPr>
        <w:t>, Montenegro</w:t>
      </w:r>
    </w:p>
    <w:p w14:paraId="1BE20B1E" w14:textId="77777777" w:rsidR="006F5FD0" w:rsidRPr="00B33EE6" w:rsidRDefault="007727F3" w:rsidP="00371C5B">
      <w:pPr>
        <w:keepNext/>
        <w:widowControl/>
        <w:spacing w:before="240" w:after="120"/>
        <w:ind w:left="284" w:hanging="284"/>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6F15819" w:rsidR="006F5FD0" w:rsidRPr="00B33EE6" w:rsidRDefault="00165410" w:rsidP="00371C5B">
      <w:pPr>
        <w:pStyle w:val="Blockquote"/>
        <w:spacing w:before="40" w:after="60"/>
        <w:ind w:left="284" w:right="0"/>
        <w:rPr>
          <w:i/>
          <w:sz w:val="22"/>
          <w:szCs w:val="22"/>
          <w:lang w:val="en-GB"/>
        </w:rPr>
      </w:pPr>
      <w:r>
        <w:rPr>
          <w:rStyle w:val="Emphasis"/>
          <w:i w:val="0"/>
          <w:sz w:val="22"/>
          <w:szCs w:val="22"/>
          <w:lang w:val="en-GB"/>
        </w:rPr>
        <w:t>BLUECONNECT</w:t>
      </w:r>
      <w:r w:rsidR="009D2D7B" w:rsidRPr="009D2D7B">
        <w:rPr>
          <w:rStyle w:val="Emphasis"/>
          <w:i w:val="0"/>
          <w:sz w:val="22"/>
          <w:szCs w:val="22"/>
          <w:lang w:val="en-GB"/>
        </w:rPr>
        <w:t xml:space="preserve"> T03</w:t>
      </w:r>
    </w:p>
    <w:p w14:paraId="7A3797D8" w14:textId="77777777" w:rsidR="006F5FD0" w:rsidRPr="00371C5B" w:rsidRDefault="007727F3" w:rsidP="00371C5B">
      <w:pPr>
        <w:keepNext/>
        <w:widowControl/>
        <w:spacing w:before="240" w:after="120"/>
        <w:ind w:left="284" w:hanging="284"/>
        <w:outlineLvl w:val="0"/>
        <w:rPr>
          <w:rStyle w:val="Strong"/>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27ABFDB3" w:rsidR="006F5FD0" w:rsidRPr="00B33EE6" w:rsidRDefault="00AD1E4D" w:rsidP="00371C5B">
      <w:pPr>
        <w:pStyle w:val="Blockquote"/>
        <w:spacing w:before="40" w:after="60"/>
        <w:ind w:left="284" w:right="0"/>
        <w:rPr>
          <w:sz w:val="22"/>
          <w:szCs w:val="22"/>
          <w:lang w:val="en-GB"/>
        </w:rPr>
      </w:pPr>
      <w:r w:rsidRPr="00A421E5">
        <w:rPr>
          <w:sz w:val="22"/>
          <w:szCs w:val="22"/>
          <w:lang w:val="en-GB"/>
        </w:rPr>
        <w:t>Simplified</w:t>
      </w:r>
      <w:r w:rsidR="00584BF4" w:rsidRPr="00B33EE6">
        <w:rPr>
          <w:sz w:val="22"/>
          <w:szCs w:val="22"/>
          <w:lang w:val="en-GB"/>
        </w:rPr>
        <w:t xml:space="preserve"> </w:t>
      </w:r>
    </w:p>
    <w:p w14:paraId="5F51B1AE" w14:textId="77777777" w:rsidR="00971962"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643B1E49" w:rsidR="00971962" w:rsidRPr="00165410" w:rsidRDefault="0029746D" w:rsidP="00371C5B">
      <w:pPr>
        <w:pStyle w:val="Blockquote"/>
        <w:spacing w:before="40" w:after="60"/>
        <w:ind w:left="284" w:right="0"/>
        <w:rPr>
          <w:sz w:val="22"/>
          <w:szCs w:val="22"/>
          <w:lang w:val="en-GB"/>
        </w:rPr>
      </w:pPr>
      <w:r w:rsidRPr="00165410">
        <w:rPr>
          <w:sz w:val="22"/>
          <w:szCs w:val="22"/>
          <w:lang w:val="en-GB"/>
        </w:rPr>
        <w:t>INTERREG IPA CBC Croatia-Bosnia and Herzegovina-Montenegro, 2021-2027</w:t>
      </w:r>
    </w:p>
    <w:p w14:paraId="797EC4DC"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5B51E871" w:rsidR="00502217" w:rsidRPr="00165410" w:rsidRDefault="00165410" w:rsidP="00371C5B">
      <w:pPr>
        <w:pStyle w:val="Blockquote"/>
        <w:spacing w:before="40" w:after="60"/>
        <w:ind w:left="284" w:right="0"/>
        <w:rPr>
          <w:sz w:val="22"/>
          <w:szCs w:val="22"/>
          <w:lang w:val="en-GB"/>
        </w:rPr>
      </w:pPr>
      <w:r w:rsidRPr="00165410">
        <w:rPr>
          <w:rStyle w:val="Emphasis"/>
          <w:i w:val="0"/>
          <w:sz w:val="22"/>
          <w:szCs w:val="22"/>
          <w:lang w:val="en-GB"/>
        </w:rPr>
        <w:t>Financing agreement, Budget of the project “Enhancing Cross-Border Blue Growth: Fostering Innovation and Cooperation for Competitive Entrepreneurship” - BLUECONNECT”, No. HR-BA-ME00241</w:t>
      </w:r>
    </w:p>
    <w:p w14:paraId="03ED8384"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9B9D2B" w14:textId="330EAFD3" w:rsidR="0029746D" w:rsidRPr="00A421E5" w:rsidRDefault="00165410" w:rsidP="00A421E5">
      <w:pPr>
        <w:pStyle w:val="Blockquote"/>
        <w:spacing w:before="40" w:after="0"/>
        <w:ind w:left="284"/>
        <w:rPr>
          <w:rStyle w:val="Emphasis"/>
          <w:b/>
          <w:i w:val="0"/>
          <w:sz w:val="22"/>
          <w:szCs w:val="22"/>
          <w:lang w:val="en-GB"/>
        </w:rPr>
      </w:pPr>
      <w:bookmarkStart w:id="0" w:name="_Hlk169255215"/>
      <w:r w:rsidRPr="00165410">
        <w:rPr>
          <w:rStyle w:val="Emphasis"/>
          <w:b/>
          <w:i w:val="0"/>
          <w:sz w:val="22"/>
          <w:szCs w:val="22"/>
          <w:lang w:val="en-GB"/>
        </w:rPr>
        <w:t>University of Montenegro - Institute of Marine Biology Kotor</w:t>
      </w:r>
    </w:p>
    <w:p w14:paraId="2259BEAD" w14:textId="5211F55C" w:rsidR="006F5FD0" w:rsidRDefault="00165410" w:rsidP="00A421E5">
      <w:pPr>
        <w:pStyle w:val="Blockquote"/>
        <w:spacing w:before="0" w:after="60"/>
        <w:ind w:left="284" w:right="0"/>
        <w:rPr>
          <w:rStyle w:val="Emphasis"/>
          <w:i w:val="0"/>
          <w:sz w:val="22"/>
          <w:szCs w:val="22"/>
          <w:lang w:val="en-GB"/>
        </w:rPr>
      </w:pPr>
      <w:r w:rsidRPr="00165410">
        <w:rPr>
          <w:rStyle w:val="Emphasis"/>
          <w:i w:val="0"/>
          <w:sz w:val="22"/>
          <w:szCs w:val="22"/>
          <w:lang w:val="en-GB"/>
        </w:rPr>
        <w:t>Put I Bokeljske brigade 68, 85330 Koto</w:t>
      </w:r>
      <w:r>
        <w:rPr>
          <w:rStyle w:val="Emphasis"/>
          <w:i w:val="0"/>
          <w:sz w:val="22"/>
          <w:szCs w:val="22"/>
          <w:lang w:val="en-GB"/>
        </w:rPr>
        <w:t>r</w:t>
      </w:r>
      <w:r w:rsidR="0029746D" w:rsidRPr="0029746D">
        <w:rPr>
          <w:rStyle w:val="Emphasis"/>
          <w:i w:val="0"/>
          <w:sz w:val="22"/>
          <w:szCs w:val="22"/>
          <w:lang w:val="en-GB"/>
        </w:rPr>
        <w:t>, Montenegro</w:t>
      </w:r>
    </w:p>
    <w:bookmarkEnd w:id="0"/>
    <w:p w14:paraId="67F4A905" w14:textId="4178C6B6" w:rsidR="006F5FD0" w:rsidRPr="00B33EE6" w:rsidRDefault="00866320" w:rsidP="00347E84">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313460F8">
                <wp:simplePos x="0" y="0"/>
                <wp:positionH relativeFrom="column">
                  <wp:posOffset>0</wp:posOffset>
                </wp:positionH>
                <wp:positionV relativeFrom="paragraph">
                  <wp:posOffset>152400</wp:posOffset>
                </wp:positionV>
                <wp:extent cx="5943600" cy="635"/>
                <wp:effectExtent l="0" t="0" r="0" b="0"/>
                <wp:wrapNone/>
                <wp:docPr id="128548224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E93D19"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347E84">
      <w:pPr>
        <w:jc w:val="center"/>
        <w:rPr>
          <w:sz w:val="28"/>
          <w:szCs w:val="28"/>
          <w:lang w:val="en-GB"/>
        </w:rPr>
      </w:pPr>
      <w:r w:rsidRPr="00B33EE6">
        <w:rPr>
          <w:rStyle w:val="Strong"/>
          <w:sz w:val="28"/>
          <w:szCs w:val="28"/>
          <w:lang w:val="en-GB"/>
        </w:rPr>
        <w:t>CONTRACT SPECIFICATION</w:t>
      </w:r>
    </w:p>
    <w:p w14:paraId="4C8A4F1B"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15FC35FF" w:rsidR="006F5FD0" w:rsidRPr="00B33EE6" w:rsidRDefault="003338CD" w:rsidP="00371C5B">
      <w:pPr>
        <w:pStyle w:val="Blockquote"/>
        <w:spacing w:before="40" w:after="60"/>
        <w:ind w:left="284" w:right="0"/>
        <w:rPr>
          <w:i/>
          <w:sz w:val="22"/>
          <w:szCs w:val="22"/>
          <w:lang w:val="en-GB"/>
        </w:rPr>
      </w:pPr>
      <w:r>
        <w:rPr>
          <w:rStyle w:val="Emphasis"/>
          <w:i w:val="0"/>
          <w:sz w:val="22"/>
          <w:szCs w:val="22"/>
          <w:lang w:val="en-GB"/>
        </w:rPr>
        <w:t>Unit-price</w:t>
      </w:r>
    </w:p>
    <w:p w14:paraId="1879C6BF"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686ACEC" w14:textId="59847A54" w:rsidR="00F205A9" w:rsidRDefault="00165410" w:rsidP="00F205A9">
      <w:pPr>
        <w:pStyle w:val="Blockquote"/>
        <w:spacing w:before="40"/>
        <w:ind w:left="284" w:right="0"/>
        <w:jc w:val="both"/>
        <w:rPr>
          <w:rStyle w:val="Emphasis"/>
          <w:i w:val="0"/>
          <w:sz w:val="22"/>
          <w:szCs w:val="22"/>
          <w:lang w:val="en-GB"/>
        </w:rPr>
      </w:pPr>
      <w:r w:rsidRPr="00165410">
        <w:rPr>
          <w:rStyle w:val="Emphasis"/>
          <w:i w:val="0"/>
          <w:sz w:val="22"/>
          <w:szCs w:val="22"/>
          <w:lang w:val="en-GB"/>
        </w:rPr>
        <w:t>University of Montenegro - Institute of Marine Biology Kotor, as a lead partner, is implementing the project “Enhancing Cross-Border Blue Growth: Fostering Innovation and Cooperation for Competitive Entrepreneurship – BLUECONNECT”. The project aims to develop and strengthen cross-border collaboration in the field of Blue Growth, fostering research, innovation, and the uptake of advanced technologies among enterprises, universities, research centers, and training institutions.</w:t>
      </w:r>
    </w:p>
    <w:p w14:paraId="74098522" w14:textId="775CD795" w:rsidR="00A26390" w:rsidRPr="00A26390" w:rsidRDefault="00F205A9" w:rsidP="00F205A9">
      <w:pPr>
        <w:pStyle w:val="Blockquote"/>
        <w:spacing w:before="40"/>
        <w:ind w:left="284" w:right="0"/>
        <w:jc w:val="both"/>
        <w:rPr>
          <w:rStyle w:val="Emphasis"/>
          <w:i w:val="0"/>
          <w:sz w:val="22"/>
          <w:szCs w:val="22"/>
          <w:lang w:val="en-GB"/>
        </w:rPr>
      </w:pPr>
      <w:r>
        <w:rPr>
          <w:rStyle w:val="Emphasis"/>
          <w:i w:val="0"/>
          <w:sz w:val="22"/>
          <w:szCs w:val="22"/>
          <w:lang w:val="en-GB"/>
        </w:rPr>
        <w:t>Pilot projects will be implemented</w:t>
      </w:r>
      <w:r w:rsidR="00A26390" w:rsidRPr="00A26390">
        <w:rPr>
          <w:rStyle w:val="Emphasis"/>
          <w:i w:val="0"/>
          <w:sz w:val="22"/>
          <w:szCs w:val="22"/>
          <w:lang w:val="en-GB"/>
        </w:rPr>
        <w:t xml:space="preserve"> to test and validate innovative solutions within the Blue Growth sector. These projects serve as real-world demonstrations of new technologies, practices, or approaches. Examples include piloting new technologies for efficient aquaculture management or sustainable coastal development practices. The outcomes of these pilot projects inform decision-making, showcase best practices, and contribute to the adoption of innovative solutions across the sector.</w:t>
      </w:r>
    </w:p>
    <w:p w14:paraId="739BE748" w14:textId="594594EB" w:rsidR="00165410" w:rsidRDefault="00A26390" w:rsidP="00A26390">
      <w:pPr>
        <w:pStyle w:val="Blockquote"/>
        <w:spacing w:before="40" w:after="60"/>
        <w:ind w:left="284" w:right="0"/>
        <w:jc w:val="both"/>
        <w:rPr>
          <w:rStyle w:val="Emphasis"/>
          <w:i w:val="0"/>
          <w:sz w:val="22"/>
          <w:szCs w:val="22"/>
          <w:lang w:val="en-GB"/>
        </w:rPr>
      </w:pPr>
      <w:r w:rsidRPr="00A26390">
        <w:rPr>
          <w:rStyle w:val="Emphasis"/>
          <w:i w:val="0"/>
          <w:sz w:val="22"/>
          <w:szCs w:val="22"/>
          <w:lang w:val="en-GB"/>
        </w:rPr>
        <w:t xml:space="preserve">Aquaculture </w:t>
      </w:r>
      <w:r w:rsidR="004A05F3">
        <w:rPr>
          <w:rStyle w:val="Emphasis"/>
          <w:i w:val="0"/>
          <w:sz w:val="22"/>
          <w:szCs w:val="22"/>
          <w:lang w:val="en-GB"/>
        </w:rPr>
        <w:t xml:space="preserve">Experimental Demonstration </w:t>
      </w:r>
      <w:r w:rsidRPr="00A26390">
        <w:rPr>
          <w:rStyle w:val="Emphasis"/>
          <w:i w:val="0"/>
          <w:sz w:val="22"/>
          <w:szCs w:val="22"/>
          <w:lang w:val="en-GB"/>
        </w:rPr>
        <w:t xml:space="preserve">Center (ADC) </w:t>
      </w:r>
      <w:r w:rsidR="00F205A9">
        <w:rPr>
          <w:rStyle w:val="Emphasis"/>
          <w:i w:val="0"/>
          <w:sz w:val="22"/>
          <w:szCs w:val="22"/>
          <w:lang w:val="en-GB"/>
        </w:rPr>
        <w:t xml:space="preserve">will be created </w:t>
      </w:r>
      <w:r w:rsidRPr="00A26390">
        <w:rPr>
          <w:rStyle w:val="Emphasis"/>
          <w:i w:val="0"/>
          <w:sz w:val="22"/>
          <w:szCs w:val="22"/>
          <w:lang w:val="en-GB"/>
        </w:rPr>
        <w:t>within I</w:t>
      </w:r>
      <w:r w:rsidR="00F205A9">
        <w:rPr>
          <w:rStyle w:val="Emphasis"/>
          <w:i w:val="0"/>
          <w:sz w:val="22"/>
          <w:szCs w:val="22"/>
          <w:lang w:val="en-GB"/>
        </w:rPr>
        <w:t>nstitute of Marine Biology</w:t>
      </w:r>
      <w:r w:rsidRPr="00A26390">
        <w:rPr>
          <w:rStyle w:val="Emphasis"/>
          <w:i w:val="0"/>
          <w:sz w:val="22"/>
          <w:szCs w:val="22"/>
          <w:lang w:val="en-GB"/>
        </w:rPr>
        <w:t xml:space="preserve"> equipping a laboratory for the cultivation of marine organisms</w:t>
      </w:r>
      <w:r w:rsidR="00F205A9">
        <w:rPr>
          <w:rStyle w:val="Emphasis"/>
          <w:i w:val="0"/>
          <w:sz w:val="22"/>
          <w:szCs w:val="22"/>
          <w:lang w:val="en-GB"/>
        </w:rPr>
        <w:t>. It</w:t>
      </w:r>
      <w:r w:rsidRPr="00A26390">
        <w:rPr>
          <w:rStyle w:val="Emphasis"/>
          <w:i w:val="0"/>
          <w:sz w:val="22"/>
          <w:szCs w:val="22"/>
          <w:lang w:val="en-GB"/>
        </w:rPr>
        <w:t xml:space="preserve"> implies the acquisition of </w:t>
      </w:r>
      <w:r w:rsidRPr="00A26390">
        <w:rPr>
          <w:rStyle w:val="Emphasis"/>
          <w:i w:val="0"/>
          <w:sz w:val="22"/>
          <w:szCs w:val="22"/>
          <w:lang w:val="en-GB"/>
        </w:rPr>
        <w:lastRenderedPageBreak/>
        <w:t>pools for the cultivation of zooplankton, the cultivation of fish broodstock, eggs, larvae and post-larvae of fishes, as well as cages for the cultivation of fish according to the system of floating parks in the sea. The equipment is purchased exclusively for the purpose of experimental breeding a</w:t>
      </w:r>
      <w:r w:rsidR="00F205A9">
        <w:rPr>
          <w:rStyle w:val="Emphasis"/>
          <w:i w:val="0"/>
          <w:sz w:val="22"/>
          <w:szCs w:val="22"/>
          <w:lang w:val="en-GB"/>
        </w:rPr>
        <w:t>n</w:t>
      </w:r>
      <w:r w:rsidRPr="00A26390">
        <w:rPr>
          <w:rStyle w:val="Emphasis"/>
          <w:i w:val="0"/>
          <w:sz w:val="22"/>
          <w:szCs w:val="22"/>
          <w:lang w:val="en-GB"/>
        </w:rPr>
        <w:t>d for demonstrational purposes, but also for eventual repopulation of certain endangered fish species.</w:t>
      </w:r>
    </w:p>
    <w:p w14:paraId="75E79BC7"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4C423EB7" w14:textId="6962FF4C" w:rsidR="00820CDB" w:rsidRPr="00B33EE6" w:rsidRDefault="00820CDB" w:rsidP="00A421E5">
      <w:pPr>
        <w:pStyle w:val="Blockquote"/>
        <w:rPr>
          <w:rStyle w:val="Emphasis"/>
          <w:i w:val="0"/>
          <w:sz w:val="22"/>
          <w:szCs w:val="22"/>
          <w:lang w:val="en-GB"/>
        </w:rPr>
      </w:pPr>
      <w:r w:rsidRPr="00F236C9">
        <w:rPr>
          <w:rStyle w:val="Strong"/>
          <w:b w:val="0"/>
          <w:sz w:val="22"/>
          <w:szCs w:val="22"/>
          <w:lang w:val="en-GB"/>
        </w:rPr>
        <w:t>This contract is divided into lots:</w:t>
      </w:r>
      <w:r w:rsidRPr="00F236C9">
        <w:rPr>
          <w:rStyle w:val="Strong"/>
          <w:sz w:val="22"/>
          <w:szCs w:val="22"/>
          <w:lang w:val="en-GB"/>
        </w:rPr>
        <w:t xml:space="preserve"> </w:t>
      </w:r>
      <w:r w:rsidRPr="00A421E5">
        <w:rPr>
          <w:rStyle w:val="Strong"/>
          <w:sz w:val="22"/>
          <w:szCs w:val="22"/>
          <w:lang w:val="en-GB"/>
        </w:rPr>
        <w:t>no</w:t>
      </w:r>
    </w:p>
    <w:p w14:paraId="6C843D95" w14:textId="08CB6547" w:rsidR="006F5FD0" w:rsidRPr="00B33EE6" w:rsidRDefault="00866320" w:rsidP="00371C5B">
      <w:pPr>
        <w:outlineLvl w:val="0"/>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E331577">
                <wp:simplePos x="0" y="0"/>
                <wp:positionH relativeFrom="column">
                  <wp:posOffset>-13335</wp:posOffset>
                </wp:positionH>
                <wp:positionV relativeFrom="paragraph">
                  <wp:posOffset>222885</wp:posOffset>
                </wp:positionV>
                <wp:extent cx="5943600" cy="635"/>
                <wp:effectExtent l="0" t="0" r="0" b="0"/>
                <wp:wrapNone/>
                <wp:docPr id="46713022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A52C60"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347E84">
      <w:pPr>
        <w:jc w:val="center"/>
        <w:rPr>
          <w:sz w:val="28"/>
          <w:szCs w:val="28"/>
          <w:lang w:val="en-GB"/>
        </w:rPr>
      </w:pPr>
      <w:r w:rsidRPr="00B33EE6">
        <w:rPr>
          <w:rStyle w:val="Strong"/>
          <w:sz w:val="28"/>
          <w:szCs w:val="28"/>
          <w:lang w:val="en-GB"/>
        </w:rPr>
        <w:t>CONDITIONS OF PARTICIPATION</w:t>
      </w:r>
    </w:p>
    <w:p w14:paraId="2CB5FCF7" w14:textId="47E123D2" w:rsidR="00B9793F" w:rsidRDefault="002845CD" w:rsidP="00371C5B">
      <w:pPr>
        <w:keepNext/>
        <w:widowControl/>
        <w:spacing w:before="240" w:after="120"/>
        <w:ind w:left="284" w:hanging="284"/>
        <w:outlineLvl w:val="0"/>
        <w:rPr>
          <w:rStyle w:val="Strong"/>
          <w:sz w:val="22"/>
          <w:szCs w:val="22"/>
          <w:lang w:val="en-GB"/>
        </w:rPr>
      </w:pPr>
      <w:r>
        <w:rPr>
          <w:rStyle w:val="Strong"/>
          <w:sz w:val="22"/>
          <w:szCs w:val="22"/>
          <w:lang w:val="en-GB"/>
        </w:rPr>
        <w:t>9</w:t>
      </w:r>
      <w:r w:rsidR="00B9793F">
        <w:rPr>
          <w:rStyle w:val="Strong"/>
          <w:sz w:val="22"/>
          <w:szCs w:val="22"/>
          <w:lang w:val="en-GB"/>
        </w:rPr>
        <w:t>.</w:t>
      </w:r>
      <w:r w:rsidR="00FD5083">
        <w:rPr>
          <w:rStyle w:val="Strong"/>
          <w:sz w:val="22"/>
          <w:szCs w:val="22"/>
          <w:lang w:val="en-GB"/>
        </w:rPr>
        <w:tab/>
      </w:r>
      <w:r w:rsidR="00B9793F" w:rsidRPr="00D97139">
        <w:rPr>
          <w:rStyle w:val="Strong"/>
          <w:sz w:val="22"/>
          <w:szCs w:val="22"/>
          <w:lang w:val="en-GB"/>
        </w:rPr>
        <w:t>Legal basis, eligibility and rules of origin</w:t>
      </w:r>
    </w:p>
    <w:p w14:paraId="04E947DD" w14:textId="6C12D0F3" w:rsidR="00B9793F" w:rsidRPr="00A421E5" w:rsidRDefault="00B9793F" w:rsidP="00371C5B">
      <w:pPr>
        <w:pStyle w:val="paragraph"/>
        <w:spacing w:before="0" w:beforeAutospacing="0" w:after="0" w:afterAutospacing="0"/>
        <w:ind w:left="284"/>
        <w:jc w:val="both"/>
        <w:textAlignment w:val="baseline"/>
        <w:rPr>
          <w:iCs/>
          <w:sz w:val="22"/>
          <w:szCs w:val="22"/>
          <w:lang w:val="en-IE"/>
        </w:rPr>
      </w:pPr>
      <w:r w:rsidRPr="00A421E5">
        <w:rPr>
          <w:iCs/>
          <w:sz w:val="22"/>
          <w:szCs w:val="22"/>
          <w:lang w:val="en-IE"/>
        </w:rPr>
        <w:t>The legal basis of this procedure is Regulation (EU) No </w:t>
      </w:r>
      <w:r w:rsidR="00A609E7" w:rsidRPr="00A421E5">
        <w:rPr>
          <w:iCs/>
          <w:sz w:val="22"/>
          <w:szCs w:val="22"/>
          <w:lang w:val="en-IE"/>
        </w:rPr>
        <w:t>2021/</w:t>
      </w:r>
      <w:r w:rsidR="009E5C83" w:rsidRPr="00A421E5">
        <w:rPr>
          <w:iCs/>
          <w:sz w:val="22"/>
          <w:szCs w:val="22"/>
          <w:lang w:val="en-IE"/>
        </w:rPr>
        <w:t>1529</w:t>
      </w:r>
      <w:r w:rsidRPr="00A421E5">
        <w:rPr>
          <w:iCs/>
          <w:sz w:val="22"/>
          <w:szCs w:val="22"/>
          <w:lang w:val="en-IE"/>
        </w:rPr>
        <w:t> establishing the Instrument for Pre-accession Assistance (IPA III). S</w:t>
      </w:r>
      <w:r w:rsidRPr="00A421E5">
        <w:rPr>
          <w:iCs/>
          <w:lang w:val="en-IE"/>
        </w:rPr>
        <w:t>ee Annex A2</w:t>
      </w:r>
      <w:r w:rsidR="00A609E7" w:rsidRPr="00A421E5">
        <w:rPr>
          <w:iCs/>
          <w:lang w:val="en-IE"/>
        </w:rPr>
        <w:t>a1</w:t>
      </w:r>
      <w:r w:rsidRPr="00A421E5">
        <w:rPr>
          <w:iCs/>
          <w:lang w:val="en-IE"/>
        </w:rPr>
        <w:t xml:space="preserve"> of the practical guide.</w:t>
      </w:r>
    </w:p>
    <w:p w14:paraId="57544065" w14:textId="3423CAF8" w:rsidR="00B9793F" w:rsidRPr="00A054B7" w:rsidRDefault="00B9793F" w:rsidP="00371C5B">
      <w:pPr>
        <w:pStyle w:val="paragraph"/>
        <w:spacing w:before="0" w:beforeAutospacing="0" w:after="120" w:afterAutospacing="0"/>
        <w:ind w:left="284"/>
        <w:jc w:val="both"/>
        <w:textAlignment w:val="baseline"/>
        <w:rPr>
          <w:iCs/>
          <w:sz w:val="22"/>
          <w:szCs w:val="22"/>
          <w:lang w:val="en-IE"/>
        </w:rPr>
      </w:pPr>
      <w:r w:rsidRPr="00A421E5">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w:t>
      </w:r>
      <w:r w:rsidR="00A421E5" w:rsidRPr="00A421E5">
        <w:rPr>
          <w:iCs/>
          <w:sz w:val="22"/>
          <w:szCs w:val="22"/>
          <w:lang w:val="en-IE"/>
        </w:rPr>
        <w:t>a Member</w:t>
      </w:r>
      <w:r w:rsidRPr="00A421E5">
        <w:rPr>
          <w:iCs/>
          <w:sz w:val="22"/>
          <w:szCs w:val="22"/>
          <w:lang w:val="en-IE"/>
        </w:rPr>
        <w:t xml:space="preserve"> State of the European Union or in an eligible country or territory as defined under Article 1</w:t>
      </w:r>
      <w:r w:rsidR="009E5C83" w:rsidRPr="00A421E5">
        <w:rPr>
          <w:iCs/>
          <w:sz w:val="22"/>
          <w:szCs w:val="22"/>
          <w:lang w:val="en-IE"/>
        </w:rPr>
        <w:t>1</w:t>
      </w:r>
      <w:r w:rsidRPr="00A421E5">
        <w:rPr>
          <w:iCs/>
          <w:sz w:val="22"/>
          <w:szCs w:val="22"/>
          <w:lang w:val="en-IE"/>
        </w:rPr>
        <w:t xml:space="preserve"> of Regulation (EU) No </w:t>
      </w:r>
      <w:bookmarkStart w:id="1" w:name="_Hlk169257528"/>
      <w:r w:rsidR="00A609E7" w:rsidRPr="00A421E5">
        <w:rPr>
          <w:iCs/>
          <w:sz w:val="22"/>
          <w:szCs w:val="22"/>
          <w:lang w:val="en-IE"/>
        </w:rPr>
        <w:t>2021/</w:t>
      </w:r>
      <w:bookmarkEnd w:id="1"/>
      <w:r w:rsidR="00A421E5" w:rsidRPr="00A421E5">
        <w:rPr>
          <w:iCs/>
          <w:sz w:val="22"/>
          <w:szCs w:val="22"/>
          <w:lang w:val="en-IE"/>
        </w:rPr>
        <w:t>1529 establishing</w:t>
      </w:r>
      <w:r w:rsidRPr="00A421E5">
        <w:rPr>
          <w:iCs/>
          <w:sz w:val="22"/>
          <w:szCs w:val="22"/>
          <w:lang w:val="en-IE"/>
        </w:rPr>
        <w:t xml:space="preserve"> the Instrument for Pre-accession Assistance (IPA III). </w:t>
      </w:r>
    </w:p>
    <w:p w14:paraId="2AD533C5" w14:textId="77777777" w:rsidR="00F36AE6" w:rsidRPr="00A421E5" w:rsidRDefault="0092504E" w:rsidP="00371C5B">
      <w:pPr>
        <w:pStyle w:val="paragraph"/>
        <w:spacing w:before="0" w:beforeAutospacing="0" w:after="120" w:afterAutospacing="0"/>
        <w:ind w:left="284"/>
        <w:jc w:val="both"/>
        <w:textAlignment w:val="baseline"/>
        <w:rPr>
          <w:iCs/>
          <w:sz w:val="22"/>
          <w:szCs w:val="22"/>
          <w:lang w:val="en-IE"/>
        </w:rPr>
      </w:pPr>
      <w:r w:rsidRPr="00A421E5">
        <w:rPr>
          <w:iCs/>
          <w:sz w:val="22"/>
          <w:szCs w:val="22"/>
          <w:lang w:val="en-IE"/>
        </w:rPr>
        <w:t>Participation is also open to international and regional organisations.</w:t>
      </w:r>
    </w:p>
    <w:p w14:paraId="08CFFA90" w14:textId="77777777" w:rsidR="00A054B7" w:rsidRPr="00A421E5" w:rsidRDefault="00A054B7" w:rsidP="00A421E5">
      <w:pPr>
        <w:pStyle w:val="paragraph"/>
        <w:spacing w:before="0" w:beforeAutospacing="0" w:after="120" w:afterAutospacing="0"/>
        <w:ind w:left="284"/>
        <w:jc w:val="both"/>
        <w:textAlignment w:val="baseline"/>
        <w:rPr>
          <w:iCs/>
          <w:sz w:val="22"/>
          <w:szCs w:val="22"/>
          <w:lang w:val="en-IE"/>
        </w:rPr>
      </w:pPr>
      <w:r w:rsidRPr="00A421E5">
        <w:rPr>
          <w:iCs/>
          <w:sz w:val="22"/>
          <w:szCs w:val="22"/>
          <w:lang w:val="en-IE"/>
        </w:rPr>
        <w:t>All supplies purchased under a procurement contract, or in accordance with a grant agreement, financed under IPA III shall originate from an eligible country or from any country which is eligible under the rules of the partner or other donor or member state or determined in the constitutive act of the trust fund.</w:t>
      </w:r>
    </w:p>
    <w:p w14:paraId="2DCC0B8E" w14:textId="77777777" w:rsidR="00A054B7" w:rsidRPr="00A421E5" w:rsidRDefault="00A054B7" w:rsidP="00A421E5">
      <w:pPr>
        <w:pStyle w:val="paragraph"/>
        <w:spacing w:before="0" w:beforeAutospacing="0" w:after="120" w:afterAutospacing="0"/>
        <w:ind w:left="284"/>
        <w:jc w:val="both"/>
        <w:textAlignment w:val="baseline"/>
        <w:rPr>
          <w:iCs/>
          <w:sz w:val="22"/>
          <w:szCs w:val="22"/>
          <w:lang w:val="en-IE"/>
        </w:rPr>
      </w:pPr>
      <w:r w:rsidRPr="00A421E5">
        <w:rPr>
          <w:iCs/>
          <w:sz w:val="22"/>
          <w:szCs w:val="22"/>
          <w:lang w:val="en-IE"/>
        </w:rPr>
        <w:t>As the Croatian national rules do not contain any restrictions as regards the rules of origin, all goods can originate from any country, irrespective of any thresholds.</w:t>
      </w:r>
    </w:p>
    <w:p w14:paraId="63522FC5" w14:textId="79686E64" w:rsidR="006F5FD0" w:rsidRPr="00371C5B" w:rsidRDefault="006F5FD0" w:rsidP="00371C5B">
      <w:pPr>
        <w:keepNext/>
        <w:widowControl/>
        <w:spacing w:before="240" w:after="120"/>
        <w:ind w:left="426" w:hanging="426"/>
        <w:outlineLvl w:val="0"/>
        <w:rPr>
          <w:rStyle w:val="Strong"/>
        </w:rPr>
      </w:pPr>
      <w:bookmarkStart w:id="2" w:name="_DV_M201"/>
      <w:bookmarkStart w:id="3" w:name="_DV_M224"/>
      <w:bookmarkStart w:id="4" w:name="_DV_M225"/>
      <w:bookmarkStart w:id="5" w:name="_DV_M226"/>
      <w:bookmarkStart w:id="6" w:name="_DV_M227"/>
      <w:bookmarkStart w:id="7" w:name="_DV_M229"/>
      <w:bookmarkStart w:id="8" w:name="_DV_M231"/>
      <w:bookmarkStart w:id="9" w:name="_DV_M232"/>
      <w:bookmarkStart w:id="10" w:name="_DV_M233"/>
      <w:bookmarkStart w:id="11" w:name="_DV_M234"/>
      <w:bookmarkStart w:id="12" w:name="_DV_M235"/>
      <w:bookmarkStart w:id="13" w:name="_DV_M236"/>
      <w:bookmarkStart w:id="14" w:name="_DV_M237"/>
      <w:bookmarkStart w:id="15" w:name="_DV_M238"/>
      <w:bookmarkEnd w:id="2"/>
      <w:bookmarkEnd w:id="3"/>
      <w:bookmarkEnd w:id="4"/>
      <w:bookmarkEnd w:id="5"/>
      <w:bookmarkEnd w:id="6"/>
      <w:bookmarkEnd w:id="7"/>
      <w:bookmarkEnd w:id="8"/>
      <w:bookmarkEnd w:id="9"/>
      <w:bookmarkEnd w:id="10"/>
      <w:bookmarkEnd w:id="11"/>
      <w:bookmarkEnd w:id="12"/>
      <w:bookmarkEnd w:id="13"/>
      <w:bookmarkEnd w:id="14"/>
      <w:bookmarkEnd w:id="15"/>
      <w:r w:rsidRPr="00B33EE6">
        <w:rPr>
          <w:rStyle w:val="Strong"/>
          <w:sz w:val="22"/>
          <w:szCs w:val="22"/>
          <w:lang w:val="en-GB"/>
        </w:rPr>
        <w:t>1</w:t>
      </w:r>
      <w:r w:rsidR="004563EB">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371C5B">
      <w:pPr>
        <w:pStyle w:val="Blockquote"/>
        <w:spacing w:before="0" w:after="120"/>
        <w:ind w:left="425" w:right="0"/>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CBC2AF9" w14:textId="77777777" w:rsidR="001A66C2" w:rsidRPr="003319C5" w:rsidRDefault="001A66C2" w:rsidP="00371C5B">
      <w:pPr>
        <w:pStyle w:val="Blockquote"/>
        <w:spacing w:before="0" w:after="120"/>
        <w:ind w:left="425" w:right="0"/>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365FF395"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54561F19" w:rsidR="006F5FD0" w:rsidRDefault="006F5FD0" w:rsidP="00371C5B">
      <w:pPr>
        <w:pStyle w:val="Blockquote"/>
        <w:spacing w:before="0" w:after="120"/>
        <w:ind w:left="425" w:right="0"/>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E128DF">
        <w:rPr>
          <w:sz w:val="22"/>
          <w:szCs w:val="22"/>
          <w:lang w:val="en-GB"/>
        </w:rPr>
        <w:t>4</w:t>
      </w:r>
      <w:r w:rsidRPr="00B33EE6">
        <w:rPr>
          <w:sz w:val="22"/>
          <w:szCs w:val="22"/>
          <w:lang w:val="en-GB"/>
        </w:rPr>
        <w:t>.</w:t>
      </w:r>
      <w:r w:rsidR="00E128DF">
        <w:rPr>
          <w:sz w:val="22"/>
          <w:szCs w:val="22"/>
          <w:lang w:val="en-GB"/>
        </w:rPr>
        <w:t>2</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E128DF">
        <w:rPr>
          <w:sz w:val="22"/>
          <w:szCs w:val="22"/>
          <w:lang w:val="en-GB"/>
        </w:rPr>
        <w:t>.</w:t>
      </w:r>
      <w:r w:rsidR="00E128DF" w:rsidRPr="00E128DF">
        <w:rPr>
          <w:sz w:val="22"/>
          <w:szCs w:val="22"/>
          <w:lang w:val="en-GB"/>
        </w:rPr>
        <w:t xml:space="preserve"> Where the tenderer intends to rely on capacity providing entities or subcontractor(s), he/she must provide the same declaration signed by this/these entity(ies).</w:t>
      </w:r>
    </w:p>
    <w:p w14:paraId="7275ED88" w14:textId="5FCB0755" w:rsidR="0039147E" w:rsidRPr="00B33EE6" w:rsidRDefault="00C03AF5" w:rsidP="00371C5B">
      <w:pPr>
        <w:pStyle w:val="Blockquote"/>
        <w:spacing w:before="0" w:after="120"/>
        <w:ind w:left="425" w:right="0"/>
        <w:jc w:val="both"/>
        <w:rPr>
          <w:sz w:val="22"/>
          <w:szCs w:val="22"/>
          <w:lang w:val="en-GB"/>
        </w:rPr>
      </w:pPr>
      <w:r>
        <w:rPr>
          <w:sz w:val="22"/>
          <w:szCs w:val="22"/>
          <w:lang w:val="en-GB"/>
        </w:rPr>
        <w:t>Tenderer</w:t>
      </w:r>
      <w:r w:rsidR="0039147E">
        <w:rPr>
          <w:sz w:val="22"/>
          <w:szCs w:val="22"/>
          <w:lang w:val="en-GB"/>
        </w:rPr>
        <w:t xml:space="preserve"> included in the lists of EU restrictive measures</w:t>
      </w:r>
      <w:r w:rsidR="00F06A6A">
        <w:rPr>
          <w:rStyle w:val="FootnoteReference"/>
          <w:sz w:val="22"/>
          <w:szCs w:val="22"/>
          <w:lang w:val="en-GB"/>
        </w:rPr>
        <w:footnoteReference w:id="1"/>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at the moment </w:t>
      </w:r>
      <w:r w:rsidR="0039147E">
        <w:rPr>
          <w:sz w:val="22"/>
          <w:szCs w:val="22"/>
          <w:lang w:val="en-GB"/>
        </w:rPr>
        <w:lastRenderedPageBreak/>
        <w:t xml:space="preserve">of the award decision cannot be awarded the contract. </w:t>
      </w:r>
    </w:p>
    <w:p w14:paraId="3126791C" w14:textId="06F3E870"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6BE4D5F5" w:rsidR="00E9047D" w:rsidRDefault="00866320" w:rsidP="00371C5B">
      <w:pPr>
        <w:pStyle w:val="Blockquote"/>
        <w:spacing w:before="0" w:after="480"/>
        <w:ind w:left="425" w:right="0"/>
        <w:jc w:val="both"/>
        <w:rPr>
          <w:rStyle w:val="Emphasis"/>
          <w:i w:val="0"/>
          <w:sz w:val="22"/>
          <w:szCs w:val="22"/>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249E6712">
                <wp:simplePos x="0" y="0"/>
                <wp:positionH relativeFrom="column">
                  <wp:posOffset>19050</wp:posOffset>
                </wp:positionH>
                <wp:positionV relativeFrom="paragraph">
                  <wp:posOffset>448945</wp:posOffset>
                </wp:positionV>
                <wp:extent cx="5943600" cy="635"/>
                <wp:effectExtent l="0" t="0" r="0" b="0"/>
                <wp:wrapNone/>
                <wp:docPr id="127989039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DB6897"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5.35pt" to="469.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" o:allowincell="f" strokecolor="#d4d4d4" strokeweight="1.75pt">
                <v:shadow on="t" offset="0,-1pt"/>
              </v:line>
            </w:pict>
          </mc:Fallback>
        </mc:AlternateContent>
      </w:r>
      <w:r w:rsidR="006D6080"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25473DDE" w:rsidR="006F5FD0" w:rsidRPr="00B33EE6" w:rsidRDefault="006F5FD0" w:rsidP="00347E84">
      <w:pPr>
        <w:keepNext/>
        <w:jc w:val="center"/>
        <w:rPr>
          <w:sz w:val="28"/>
          <w:szCs w:val="28"/>
          <w:lang w:val="en-GB"/>
        </w:rPr>
      </w:pPr>
      <w:r w:rsidRPr="00B33EE6">
        <w:rPr>
          <w:rStyle w:val="Strong"/>
          <w:sz w:val="28"/>
          <w:szCs w:val="28"/>
          <w:lang w:val="en-GB"/>
        </w:rPr>
        <w:t>PROVISIONAL TIMETABLE</w:t>
      </w:r>
    </w:p>
    <w:p w14:paraId="669BA67B" w14:textId="5628C8CF"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5A1F4C8B" w:rsidR="006F5FD0" w:rsidRPr="004A05F3" w:rsidRDefault="00230867" w:rsidP="00371C5B">
      <w:pPr>
        <w:pStyle w:val="Blockquote"/>
        <w:spacing w:before="0" w:after="120"/>
        <w:ind w:left="357" w:right="0"/>
        <w:jc w:val="both"/>
        <w:rPr>
          <w:i/>
          <w:sz w:val="22"/>
          <w:szCs w:val="22"/>
          <w:lang w:val="en-GB"/>
        </w:rPr>
      </w:pPr>
      <w:r w:rsidRPr="004A05F3">
        <w:rPr>
          <w:rStyle w:val="Emphasis"/>
          <w:i w:val="0"/>
          <w:sz w:val="22"/>
          <w:szCs w:val="22"/>
          <w:lang w:val="en-GB"/>
        </w:rPr>
        <w:t>07 November</w:t>
      </w:r>
      <w:r w:rsidR="003338CD" w:rsidRPr="004A05F3">
        <w:rPr>
          <w:rStyle w:val="Emphasis"/>
          <w:i w:val="0"/>
          <w:sz w:val="22"/>
          <w:szCs w:val="22"/>
          <w:lang w:val="en-GB"/>
        </w:rPr>
        <w:t xml:space="preserve"> 2025</w:t>
      </w:r>
    </w:p>
    <w:p w14:paraId="70B1A4AA" w14:textId="75AC88E9" w:rsidR="006F5FD0" w:rsidRPr="004A05F3" w:rsidRDefault="005639EC" w:rsidP="00371C5B">
      <w:pPr>
        <w:keepNext/>
        <w:widowControl/>
        <w:spacing w:before="240" w:after="120"/>
        <w:ind w:left="426" w:hanging="426"/>
        <w:outlineLvl w:val="0"/>
        <w:rPr>
          <w:rStyle w:val="Strong"/>
        </w:rPr>
      </w:pPr>
      <w:r w:rsidRPr="004A05F3">
        <w:rPr>
          <w:rStyle w:val="Strong"/>
          <w:sz w:val="22"/>
          <w:szCs w:val="22"/>
          <w:lang w:val="en-GB"/>
        </w:rPr>
        <w:t>1</w:t>
      </w:r>
      <w:r w:rsidR="004563EB" w:rsidRPr="004A05F3">
        <w:rPr>
          <w:rStyle w:val="Strong"/>
          <w:sz w:val="22"/>
          <w:szCs w:val="22"/>
          <w:lang w:val="en-GB"/>
        </w:rPr>
        <w:t>4</w:t>
      </w:r>
      <w:r w:rsidR="006F5FD0" w:rsidRPr="004A05F3">
        <w:rPr>
          <w:rStyle w:val="Strong"/>
          <w:sz w:val="22"/>
          <w:szCs w:val="22"/>
          <w:lang w:val="en-GB"/>
        </w:rPr>
        <w:t xml:space="preserve">. </w:t>
      </w:r>
      <w:r w:rsidR="00584BF4" w:rsidRPr="004A05F3">
        <w:rPr>
          <w:rStyle w:val="Strong"/>
          <w:sz w:val="22"/>
          <w:szCs w:val="22"/>
          <w:lang w:val="en-GB"/>
        </w:rPr>
        <w:tab/>
      </w:r>
      <w:r w:rsidRPr="004A05F3">
        <w:rPr>
          <w:rStyle w:val="Strong"/>
          <w:sz w:val="22"/>
          <w:szCs w:val="22"/>
          <w:lang w:val="en-GB"/>
        </w:rPr>
        <w:t>Implementation</w:t>
      </w:r>
      <w:r w:rsidR="006F5FD0" w:rsidRPr="004A05F3">
        <w:rPr>
          <w:rStyle w:val="Strong"/>
          <w:sz w:val="22"/>
          <w:szCs w:val="22"/>
          <w:lang w:val="en-GB"/>
        </w:rPr>
        <w:t xml:space="preserve"> period of </w:t>
      </w:r>
      <w:r w:rsidRPr="004A05F3">
        <w:rPr>
          <w:rStyle w:val="Strong"/>
          <w:sz w:val="22"/>
          <w:szCs w:val="22"/>
          <w:lang w:val="en-GB"/>
        </w:rPr>
        <w:t>the</w:t>
      </w:r>
      <w:r w:rsidR="00476D80" w:rsidRPr="004A05F3">
        <w:rPr>
          <w:rStyle w:val="Strong"/>
          <w:sz w:val="22"/>
          <w:szCs w:val="22"/>
          <w:lang w:val="en-GB"/>
        </w:rPr>
        <w:t xml:space="preserve"> tasks </w:t>
      </w:r>
    </w:p>
    <w:p w14:paraId="6A07015F" w14:textId="47623E8B" w:rsidR="006F5FD0" w:rsidRPr="00B33EE6" w:rsidRDefault="00230867" w:rsidP="00371C5B">
      <w:pPr>
        <w:pStyle w:val="Blockquote"/>
        <w:spacing w:before="0" w:after="120"/>
        <w:ind w:left="357" w:right="0"/>
        <w:jc w:val="both"/>
        <w:rPr>
          <w:i/>
          <w:sz w:val="22"/>
          <w:szCs w:val="22"/>
          <w:lang w:val="en-GB"/>
        </w:rPr>
      </w:pPr>
      <w:r w:rsidRPr="004A05F3">
        <w:rPr>
          <w:rStyle w:val="Emphasis"/>
          <w:i w:val="0"/>
          <w:sz w:val="22"/>
          <w:szCs w:val="22"/>
          <w:lang w:val="en-GB"/>
        </w:rPr>
        <w:t>170</w:t>
      </w:r>
      <w:r w:rsidR="001055B7" w:rsidRPr="004A05F3">
        <w:rPr>
          <w:rStyle w:val="Emphasis"/>
          <w:i w:val="0"/>
          <w:sz w:val="22"/>
          <w:szCs w:val="22"/>
          <w:lang w:val="en-GB"/>
        </w:rPr>
        <w:t xml:space="preserve"> calendar days from contract signature by the last part.</w:t>
      </w:r>
    </w:p>
    <w:p w14:paraId="29CC7DD8" w14:textId="1C366D5F" w:rsidR="006F5FD0" w:rsidRPr="00B33EE6" w:rsidRDefault="00866320" w:rsidP="00347E84">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2C7207F">
                <wp:simplePos x="0" y="0"/>
                <wp:positionH relativeFrom="column">
                  <wp:posOffset>0</wp:posOffset>
                </wp:positionH>
                <wp:positionV relativeFrom="paragraph">
                  <wp:posOffset>238125</wp:posOffset>
                </wp:positionV>
                <wp:extent cx="5943600" cy="635"/>
                <wp:effectExtent l="0" t="0" r="0" b="0"/>
                <wp:wrapNone/>
                <wp:docPr id="168225367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4B1983"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75pt" to="468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rsidP="00347E84">
      <w:pPr>
        <w:jc w:val="center"/>
        <w:rPr>
          <w:sz w:val="28"/>
          <w:szCs w:val="28"/>
          <w:lang w:val="en-GB"/>
        </w:rPr>
      </w:pPr>
      <w:r w:rsidRPr="00B33EE6">
        <w:rPr>
          <w:rStyle w:val="Strong"/>
          <w:sz w:val="28"/>
          <w:szCs w:val="28"/>
          <w:lang w:val="en-GB"/>
        </w:rPr>
        <w:t>SELECTION AND AWARD CRITERIA</w:t>
      </w:r>
    </w:p>
    <w:p w14:paraId="392C793B" w14:textId="770D3912" w:rsidR="006F5FD0" w:rsidRDefault="005639EC" w:rsidP="00371C5B">
      <w:pPr>
        <w:keepNext/>
        <w:widowControl/>
        <w:spacing w:before="240" w:after="120"/>
        <w:ind w:left="425" w:hanging="425"/>
        <w:outlineLvl w:val="0"/>
        <w:rPr>
          <w:rStyle w:val="Strong"/>
          <w:sz w:val="22"/>
          <w:szCs w:val="22"/>
          <w:lang w:val="en-GB"/>
        </w:rPr>
      </w:pPr>
      <w:r w:rsidRPr="00B33EE6">
        <w:rPr>
          <w:rStyle w:val="Strong"/>
          <w:sz w:val="22"/>
          <w:szCs w:val="22"/>
          <w:lang w:val="en-GB"/>
        </w:rPr>
        <w:t>1</w:t>
      </w:r>
      <w:r w:rsidR="004563EB">
        <w:rPr>
          <w:rStyle w:val="Strong"/>
          <w:sz w:val="22"/>
          <w:szCs w:val="22"/>
          <w:lang w:val="en-GB"/>
        </w:rPr>
        <w:t>5</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Capacity-providing entities</w:t>
      </w:r>
    </w:p>
    <w:p w14:paraId="1677E155"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03C063D0" w:rsidR="00831982" w:rsidRPr="00B33EE6" w:rsidRDefault="00831982" w:rsidP="00371C5B">
      <w:pPr>
        <w:widowControl/>
        <w:spacing w:before="0" w:after="120"/>
        <w:ind w:left="425"/>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Default="006F5FD0" w:rsidP="00371C5B">
      <w:pPr>
        <w:pStyle w:val="Blockquote"/>
        <w:ind w:left="425" w:right="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371C5B">
        <w:rPr>
          <w:b/>
          <w:bCs/>
          <w:sz w:val="22"/>
          <w:szCs w:val="22"/>
          <w:lang w:val="en-GB"/>
        </w:rPr>
        <w:t xml:space="preserve">. </w:t>
      </w:r>
      <w:r w:rsidRPr="00371C5B">
        <w:rPr>
          <w:b/>
          <w:bCs/>
          <w:sz w:val="22"/>
          <w:szCs w:val="22"/>
          <w:lang w:val="en-GB"/>
        </w:rPr>
        <w:t xml:space="preserve">In the case of </w:t>
      </w:r>
      <w:r w:rsidR="005639EC" w:rsidRPr="00371C5B">
        <w:rPr>
          <w:b/>
          <w:bCs/>
          <w:sz w:val="22"/>
          <w:szCs w:val="22"/>
          <w:lang w:val="en-GB"/>
        </w:rPr>
        <w:t>tenders</w:t>
      </w:r>
      <w:r w:rsidRPr="00371C5B">
        <w:rPr>
          <w:b/>
          <w:bCs/>
          <w:sz w:val="22"/>
          <w:szCs w:val="22"/>
          <w:lang w:val="en-GB"/>
        </w:rPr>
        <w:t xml:space="preserve"> submitted by a consortium, these selection criteria will be applied to the consortium as a whole</w:t>
      </w:r>
      <w:r w:rsidR="006751D2" w:rsidRPr="00371C5B">
        <w:rPr>
          <w:b/>
          <w:bCs/>
          <w:sz w:val="22"/>
          <w:szCs w:val="22"/>
          <w:lang w:val="en-GB"/>
        </w:rPr>
        <w:t xml:space="preserve"> if not specified otherwise</w:t>
      </w:r>
      <w:r w:rsidR="006751D2" w:rsidRPr="00B33EE6">
        <w:rPr>
          <w:sz w:val="22"/>
          <w:szCs w:val="22"/>
          <w:lang w:val="en-GB"/>
        </w:rPr>
        <w:t>. The selection criteria will not be applied to natural persons and single-member companies when they are sub-contractors.</w:t>
      </w:r>
    </w:p>
    <w:p w14:paraId="7E591805" w14:textId="2EE6B645" w:rsidR="00D06A30" w:rsidRDefault="00D06A30" w:rsidP="00371C5B">
      <w:pPr>
        <w:pStyle w:val="Blockquote"/>
        <w:ind w:left="425" w:right="0"/>
        <w:jc w:val="both"/>
        <w:rPr>
          <w:sz w:val="22"/>
          <w:szCs w:val="22"/>
          <w:lang w:val="en-GB"/>
        </w:rPr>
      </w:pPr>
      <w:r w:rsidRPr="004916FF">
        <w:rPr>
          <w:sz w:val="22"/>
          <w:szCs w:val="22"/>
          <w:lang w:val="en-GB"/>
        </w:rPr>
        <w:t xml:space="preserve">The </w:t>
      </w:r>
      <w:r>
        <w:rPr>
          <w:sz w:val="22"/>
          <w:szCs w:val="22"/>
          <w:lang w:val="en-GB"/>
        </w:rPr>
        <w:t>tenderer</w:t>
      </w:r>
      <w:r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F15199D" w14:textId="1497127C" w:rsidR="00287536" w:rsidRPr="00A421E5" w:rsidRDefault="00287536" w:rsidP="00371C5B">
      <w:pPr>
        <w:widowControl/>
        <w:spacing w:before="120" w:after="120"/>
        <w:ind w:left="425" w:firstLine="357"/>
        <w:jc w:val="both"/>
        <w:outlineLvl w:val="3"/>
        <w:rPr>
          <w:sz w:val="22"/>
          <w:szCs w:val="22"/>
          <w:lang w:val="en-GB"/>
        </w:rPr>
      </w:pPr>
      <w:r w:rsidRPr="00A421E5">
        <w:rPr>
          <w:sz w:val="22"/>
          <w:szCs w:val="22"/>
          <w:lang w:val="en-GB"/>
        </w:rPr>
        <w:lastRenderedPageBreak/>
        <w:t>The selection criteria for each tenderer are as follows:</w:t>
      </w:r>
    </w:p>
    <w:p w14:paraId="53A16187" w14:textId="60E05DE7" w:rsidR="006F5FD0" w:rsidRPr="004A05F3" w:rsidRDefault="006F5FD0" w:rsidP="00371C5B">
      <w:pPr>
        <w:pStyle w:val="Blockquote"/>
        <w:numPr>
          <w:ilvl w:val="0"/>
          <w:numId w:val="45"/>
        </w:numPr>
        <w:tabs>
          <w:tab w:val="left" w:pos="851"/>
        </w:tabs>
        <w:ind w:left="851" w:right="0" w:hanging="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w:t>
      </w:r>
      <w:r w:rsidR="006751D2" w:rsidRPr="00371C5B">
        <w:rPr>
          <w:b/>
          <w:bCs/>
          <w:sz w:val="22"/>
          <w:szCs w:val="22"/>
          <w:lang w:val="en-GB"/>
        </w:rPr>
        <w:t xml:space="preserve">the last three </w:t>
      </w:r>
      <w:r w:rsidR="00D51C7E" w:rsidRPr="00371C5B">
        <w:rPr>
          <w:b/>
          <w:bCs/>
          <w:sz w:val="22"/>
          <w:szCs w:val="22"/>
          <w:lang w:val="en-GB"/>
        </w:rPr>
        <w:t xml:space="preserve">financial </w:t>
      </w:r>
      <w:r w:rsidR="006751D2" w:rsidRPr="00371C5B">
        <w:rPr>
          <w:b/>
          <w:bCs/>
          <w:sz w:val="22"/>
          <w:szCs w:val="22"/>
          <w:lang w:val="en-GB"/>
        </w:rPr>
        <w:t xml:space="preserve">years for which accounts have </w:t>
      </w:r>
      <w:r w:rsidR="006751D2" w:rsidRPr="004A05F3">
        <w:rPr>
          <w:b/>
          <w:bCs/>
          <w:sz w:val="22"/>
          <w:szCs w:val="22"/>
          <w:lang w:val="en-GB"/>
        </w:rPr>
        <w:t>been closed.</w:t>
      </w:r>
    </w:p>
    <w:p w14:paraId="73245B5C" w14:textId="143FA594" w:rsidR="001055B7" w:rsidRPr="004A05F3" w:rsidRDefault="001055B7" w:rsidP="00A421E5">
      <w:pPr>
        <w:pStyle w:val="Blockquote"/>
        <w:numPr>
          <w:ilvl w:val="1"/>
          <w:numId w:val="46"/>
        </w:numPr>
        <w:tabs>
          <w:tab w:val="left" w:pos="851"/>
        </w:tabs>
        <w:ind w:right="0"/>
        <w:jc w:val="both"/>
        <w:rPr>
          <w:sz w:val="22"/>
          <w:szCs w:val="22"/>
          <w:lang w:val="en-GB"/>
        </w:rPr>
      </w:pPr>
      <w:r w:rsidRPr="004A05F3">
        <w:rPr>
          <w:bCs/>
          <w:sz w:val="22"/>
          <w:szCs w:val="22"/>
          <w:lang w:val="en-IE"/>
        </w:rPr>
        <w:t>The tenderer’s average annual turnover of the last 3 financial years for which the accounts have bee</w:t>
      </w:r>
      <w:r w:rsidR="00DF44B6" w:rsidRPr="004A05F3">
        <w:rPr>
          <w:bCs/>
          <w:sz w:val="22"/>
          <w:szCs w:val="22"/>
          <w:lang w:val="en-IE"/>
        </w:rPr>
        <w:t>n closed must be not less than 10</w:t>
      </w:r>
      <w:r w:rsidRPr="004A05F3">
        <w:rPr>
          <w:bCs/>
          <w:sz w:val="22"/>
          <w:szCs w:val="22"/>
          <w:lang w:val="en-IE"/>
        </w:rPr>
        <w:t>0.000,00 EUR</w:t>
      </w:r>
    </w:p>
    <w:p w14:paraId="5D762B00" w14:textId="2A02B43B" w:rsidR="006F5FD0" w:rsidRPr="004A05F3" w:rsidRDefault="00571687" w:rsidP="00371C5B">
      <w:pPr>
        <w:pStyle w:val="Blockquote"/>
        <w:ind w:left="709" w:right="0" w:hanging="284"/>
        <w:jc w:val="both"/>
        <w:rPr>
          <w:sz w:val="22"/>
          <w:szCs w:val="22"/>
          <w:lang w:val="en-GB"/>
        </w:rPr>
      </w:pPr>
      <w:r w:rsidRPr="004A05F3">
        <w:rPr>
          <w:b/>
          <w:sz w:val="22"/>
          <w:szCs w:val="22"/>
          <w:lang w:val="en-GB"/>
        </w:rPr>
        <w:t>2)</w:t>
      </w:r>
      <w:r w:rsidRPr="004A05F3">
        <w:rPr>
          <w:sz w:val="22"/>
          <w:szCs w:val="22"/>
          <w:lang w:val="en-GB"/>
        </w:rPr>
        <w:tab/>
      </w:r>
      <w:r w:rsidR="006F5FD0" w:rsidRPr="004A05F3">
        <w:rPr>
          <w:b/>
          <w:sz w:val="22"/>
          <w:szCs w:val="22"/>
          <w:u w:val="single"/>
          <w:lang w:val="en-GB"/>
        </w:rPr>
        <w:t>Professional capacity of</w:t>
      </w:r>
      <w:r w:rsidR="002413EA" w:rsidRPr="004A05F3">
        <w:rPr>
          <w:b/>
          <w:sz w:val="22"/>
          <w:szCs w:val="22"/>
          <w:u w:val="single"/>
          <w:lang w:val="en-GB"/>
        </w:rPr>
        <w:t xml:space="preserve"> the tenderer</w:t>
      </w:r>
      <w:r w:rsidR="006F5FD0" w:rsidRPr="004A05F3">
        <w:rPr>
          <w:sz w:val="22"/>
          <w:szCs w:val="22"/>
          <w:lang w:val="en-GB"/>
        </w:rPr>
        <w:t xml:space="preserve"> </w:t>
      </w:r>
      <w:r w:rsidR="00A85E8A" w:rsidRPr="004A05F3">
        <w:rPr>
          <w:sz w:val="22"/>
          <w:szCs w:val="22"/>
          <w:lang w:val="en-GB"/>
        </w:rPr>
        <w:t>(</w:t>
      </w:r>
      <w:r w:rsidR="006F5FD0" w:rsidRPr="004A05F3">
        <w:rPr>
          <w:sz w:val="22"/>
          <w:szCs w:val="22"/>
          <w:lang w:val="en-GB"/>
        </w:rPr>
        <w:t xml:space="preserve">based on item </w:t>
      </w:r>
      <w:r w:rsidR="00087A72" w:rsidRPr="004A05F3">
        <w:rPr>
          <w:sz w:val="22"/>
          <w:szCs w:val="22"/>
          <w:lang w:val="en-GB"/>
        </w:rPr>
        <w:t>4</w:t>
      </w:r>
      <w:r w:rsidR="00287536" w:rsidRPr="004A05F3">
        <w:rPr>
          <w:sz w:val="22"/>
          <w:szCs w:val="22"/>
          <w:lang w:val="en-GB"/>
        </w:rPr>
        <w:t xml:space="preserve"> </w:t>
      </w:r>
      <w:r w:rsidR="00087A72" w:rsidRPr="004A05F3">
        <w:rPr>
          <w:sz w:val="22"/>
          <w:szCs w:val="22"/>
          <w:lang w:val="en-GB"/>
        </w:rPr>
        <w:t xml:space="preserve">of the </w:t>
      </w:r>
      <w:r w:rsidR="005639EC" w:rsidRPr="004A05F3">
        <w:rPr>
          <w:sz w:val="22"/>
          <w:szCs w:val="22"/>
          <w:lang w:val="en-GB"/>
        </w:rPr>
        <w:t>tender</w:t>
      </w:r>
      <w:r w:rsidR="00087A72" w:rsidRPr="004A05F3">
        <w:rPr>
          <w:sz w:val="22"/>
          <w:szCs w:val="22"/>
          <w:lang w:val="en-GB"/>
        </w:rPr>
        <w:t xml:space="preserve"> form)</w:t>
      </w:r>
      <w:r w:rsidR="00BE08EC" w:rsidRPr="004A05F3">
        <w:rPr>
          <w:sz w:val="22"/>
          <w:szCs w:val="22"/>
          <w:lang w:val="en-GB"/>
        </w:rPr>
        <w:t>.</w:t>
      </w:r>
    </w:p>
    <w:p w14:paraId="195C8042" w14:textId="77777777" w:rsidR="00BE08EC" w:rsidRPr="004A05F3" w:rsidRDefault="00BE08EC" w:rsidP="00371C5B">
      <w:pPr>
        <w:pStyle w:val="Blockquote"/>
        <w:ind w:left="431" w:right="0" w:hanging="6"/>
        <w:jc w:val="both"/>
        <w:rPr>
          <w:b/>
          <w:bCs/>
          <w:sz w:val="22"/>
          <w:szCs w:val="22"/>
          <w:lang w:val="en-GB"/>
        </w:rPr>
      </w:pPr>
      <w:r w:rsidRPr="004A05F3">
        <w:rPr>
          <w:sz w:val="22"/>
          <w:szCs w:val="22"/>
          <w:lang w:val="en-GB"/>
        </w:rPr>
        <w:t xml:space="preserve">The reference period which will be taken into account will be </w:t>
      </w:r>
      <w:r w:rsidRPr="004A05F3">
        <w:rPr>
          <w:b/>
          <w:bCs/>
          <w:sz w:val="22"/>
          <w:szCs w:val="22"/>
          <w:lang w:val="en-GB"/>
        </w:rPr>
        <w:t>the last three</w:t>
      </w:r>
      <w:r w:rsidR="00862885" w:rsidRPr="004A05F3">
        <w:rPr>
          <w:b/>
          <w:bCs/>
          <w:sz w:val="22"/>
          <w:szCs w:val="22"/>
          <w:lang w:val="en-GB"/>
        </w:rPr>
        <w:t xml:space="preserve"> years </w:t>
      </w:r>
      <w:r w:rsidR="00771F97" w:rsidRPr="004A05F3">
        <w:rPr>
          <w:b/>
          <w:bCs/>
          <w:sz w:val="22"/>
          <w:szCs w:val="22"/>
          <w:lang w:val="en-GB"/>
        </w:rPr>
        <w:t>preceding the</w:t>
      </w:r>
      <w:r w:rsidRPr="004A05F3">
        <w:rPr>
          <w:b/>
          <w:bCs/>
          <w:sz w:val="22"/>
          <w:szCs w:val="22"/>
          <w:lang w:val="en-GB"/>
        </w:rPr>
        <w:t xml:space="preserve"> submission deadline.</w:t>
      </w:r>
    </w:p>
    <w:p w14:paraId="0074DB91" w14:textId="143E4F2B" w:rsidR="001055B7" w:rsidRPr="004A05F3" w:rsidRDefault="001055B7" w:rsidP="00A421E5">
      <w:pPr>
        <w:pStyle w:val="Blockquote"/>
        <w:tabs>
          <w:tab w:val="left" w:pos="851"/>
        </w:tabs>
        <w:ind w:left="993" w:right="0" w:hanging="426"/>
        <w:jc w:val="both"/>
        <w:rPr>
          <w:bCs/>
          <w:sz w:val="22"/>
          <w:szCs w:val="22"/>
          <w:lang w:val="en-IE"/>
        </w:rPr>
      </w:pPr>
      <w:r w:rsidRPr="004A05F3">
        <w:rPr>
          <w:bCs/>
          <w:sz w:val="22"/>
          <w:szCs w:val="22"/>
          <w:lang w:val="en-IE"/>
        </w:rPr>
        <w:t>2.1</w:t>
      </w:r>
      <w:r w:rsidR="00BC6C16" w:rsidRPr="004A05F3">
        <w:rPr>
          <w:bCs/>
          <w:sz w:val="22"/>
          <w:szCs w:val="22"/>
          <w:lang w:val="en-IE"/>
        </w:rPr>
        <w:t xml:space="preserve"> </w:t>
      </w:r>
      <w:r w:rsidRPr="004A05F3">
        <w:rPr>
          <w:bCs/>
          <w:sz w:val="22"/>
          <w:szCs w:val="22"/>
          <w:lang w:val="en-IE"/>
        </w:rPr>
        <w:t>The tenderer has the regulatory capacity appropriate to this contract, such as registered business activity</w:t>
      </w:r>
      <w:r w:rsidR="00230867" w:rsidRPr="004A05F3">
        <w:rPr>
          <w:bCs/>
          <w:sz w:val="22"/>
          <w:szCs w:val="22"/>
          <w:lang w:val="en-IE"/>
        </w:rPr>
        <w:t xml:space="preserve"> related to this contract</w:t>
      </w:r>
      <w:r w:rsidRPr="004A05F3">
        <w:rPr>
          <w:bCs/>
          <w:sz w:val="22"/>
          <w:szCs w:val="22"/>
          <w:lang w:val="en-IE"/>
        </w:rPr>
        <w:t>.</w:t>
      </w:r>
    </w:p>
    <w:p w14:paraId="05E75179" w14:textId="55B8ADDB" w:rsidR="00BE08EC" w:rsidRPr="004A05F3" w:rsidRDefault="00571687" w:rsidP="00371C5B">
      <w:pPr>
        <w:pStyle w:val="Blockquote"/>
        <w:ind w:left="782" w:right="0" w:hanging="357"/>
        <w:jc w:val="both"/>
        <w:rPr>
          <w:sz w:val="22"/>
          <w:szCs w:val="22"/>
          <w:lang w:val="en-GB"/>
        </w:rPr>
      </w:pPr>
      <w:r w:rsidRPr="004A05F3">
        <w:rPr>
          <w:b/>
          <w:sz w:val="22"/>
          <w:szCs w:val="22"/>
          <w:lang w:val="en-GB"/>
        </w:rPr>
        <w:t>3)</w:t>
      </w:r>
      <w:r w:rsidRPr="004A05F3">
        <w:rPr>
          <w:b/>
          <w:sz w:val="22"/>
          <w:szCs w:val="22"/>
          <w:lang w:val="en-GB"/>
        </w:rPr>
        <w:tab/>
      </w:r>
      <w:r w:rsidR="006F5FD0" w:rsidRPr="004A05F3">
        <w:rPr>
          <w:b/>
          <w:sz w:val="22"/>
          <w:szCs w:val="22"/>
          <w:u w:val="single"/>
          <w:lang w:val="en-GB"/>
        </w:rPr>
        <w:t xml:space="preserve">Technical capacity of </w:t>
      </w:r>
      <w:r w:rsidR="00C03AF5" w:rsidRPr="004A05F3">
        <w:rPr>
          <w:b/>
          <w:sz w:val="22"/>
          <w:szCs w:val="22"/>
          <w:u w:val="single"/>
          <w:lang w:val="en-GB"/>
        </w:rPr>
        <w:t>tenderer</w:t>
      </w:r>
      <w:r w:rsidR="006F5FD0" w:rsidRPr="004A05F3">
        <w:rPr>
          <w:b/>
          <w:sz w:val="22"/>
          <w:szCs w:val="22"/>
          <w:u w:val="single"/>
          <w:lang w:val="en-GB"/>
        </w:rPr>
        <w:t xml:space="preserve"> </w:t>
      </w:r>
      <w:r w:rsidR="00087A72" w:rsidRPr="004A05F3">
        <w:rPr>
          <w:sz w:val="22"/>
          <w:szCs w:val="22"/>
          <w:lang w:val="en-GB"/>
        </w:rPr>
        <w:t>(</w:t>
      </w:r>
      <w:r w:rsidR="0001246A" w:rsidRPr="004A05F3">
        <w:rPr>
          <w:sz w:val="22"/>
          <w:szCs w:val="22"/>
          <w:lang w:val="en-GB"/>
        </w:rPr>
        <w:t>based on item</w:t>
      </w:r>
      <w:r w:rsidR="006F5FD0" w:rsidRPr="004A05F3">
        <w:rPr>
          <w:sz w:val="22"/>
          <w:szCs w:val="22"/>
          <w:lang w:val="en-GB"/>
        </w:rPr>
        <w:t xml:space="preserve"> </w:t>
      </w:r>
      <w:r w:rsidR="0001246A" w:rsidRPr="004A05F3">
        <w:rPr>
          <w:sz w:val="22"/>
          <w:szCs w:val="22"/>
          <w:lang w:val="en-GB"/>
        </w:rPr>
        <w:t>5</w:t>
      </w:r>
      <w:r w:rsidR="006F5FD0" w:rsidRPr="004A05F3">
        <w:rPr>
          <w:sz w:val="22"/>
          <w:szCs w:val="22"/>
          <w:lang w:val="en-GB"/>
        </w:rPr>
        <w:t xml:space="preserve"> of the </w:t>
      </w:r>
      <w:r w:rsidR="00994EA3" w:rsidRPr="004A05F3">
        <w:rPr>
          <w:sz w:val="22"/>
          <w:szCs w:val="22"/>
          <w:lang w:val="en-GB"/>
        </w:rPr>
        <w:t>tender</w:t>
      </w:r>
      <w:r w:rsidR="006F5FD0" w:rsidRPr="004A05F3">
        <w:rPr>
          <w:sz w:val="22"/>
          <w:szCs w:val="22"/>
          <w:lang w:val="en-GB"/>
        </w:rPr>
        <w:t xml:space="preserve"> form</w:t>
      </w:r>
      <w:r w:rsidR="00087A72" w:rsidRPr="004A05F3">
        <w:rPr>
          <w:sz w:val="22"/>
          <w:szCs w:val="22"/>
          <w:lang w:val="en-GB"/>
        </w:rPr>
        <w:t>)</w:t>
      </w:r>
      <w:r w:rsidR="00BE08EC" w:rsidRPr="004A05F3">
        <w:rPr>
          <w:sz w:val="22"/>
          <w:szCs w:val="22"/>
          <w:lang w:val="en-GB"/>
        </w:rPr>
        <w:t>. The reference period which will be taken into account will be the last three</w:t>
      </w:r>
      <w:r w:rsidR="00862885" w:rsidRPr="004A05F3">
        <w:rPr>
          <w:sz w:val="22"/>
          <w:szCs w:val="22"/>
          <w:lang w:val="en-GB"/>
        </w:rPr>
        <w:t xml:space="preserve"> years </w:t>
      </w:r>
      <w:r w:rsidR="00771F97" w:rsidRPr="004A05F3">
        <w:rPr>
          <w:sz w:val="22"/>
          <w:szCs w:val="22"/>
          <w:lang w:val="en-GB"/>
        </w:rPr>
        <w:t>preceding the</w:t>
      </w:r>
      <w:r w:rsidR="00BE08EC" w:rsidRPr="004A05F3">
        <w:rPr>
          <w:sz w:val="22"/>
          <w:szCs w:val="22"/>
          <w:lang w:val="en-GB"/>
        </w:rPr>
        <w:t xml:space="preserve"> submission deadline.</w:t>
      </w:r>
    </w:p>
    <w:p w14:paraId="1853E77F" w14:textId="78CB23CB" w:rsidR="001661F7" w:rsidRPr="00A421E5" w:rsidRDefault="00BC6C16" w:rsidP="00A421E5">
      <w:pPr>
        <w:pStyle w:val="Blockquote"/>
        <w:tabs>
          <w:tab w:val="left" w:pos="851"/>
        </w:tabs>
        <w:ind w:left="993" w:right="0" w:hanging="426"/>
        <w:jc w:val="both"/>
        <w:rPr>
          <w:bCs/>
          <w:sz w:val="22"/>
          <w:szCs w:val="22"/>
          <w:lang w:val="en-IE"/>
        </w:rPr>
      </w:pPr>
      <w:r w:rsidRPr="004A05F3">
        <w:rPr>
          <w:bCs/>
          <w:sz w:val="22"/>
          <w:szCs w:val="22"/>
          <w:lang w:val="en-IE"/>
        </w:rPr>
        <w:t>3.1  T</w:t>
      </w:r>
      <w:r w:rsidR="00BE783C" w:rsidRPr="004A05F3">
        <w:rPr>
          <w:bCs/>
          <w:sz w:val="22"/>
          <w:szCs w:val="22"/>
          <w:lang w:val="en-IE"/>
        </w:rPr>
        <w:t xml:space="preserve">he </w:t>
      </w:r>
      <w:r w:rsidR="00994EA3" w:rsidRPr="004A05F3">
        <w:rPr>
          <w:bCs/>
          <w:sz w:val="22"/>
          <w:szCs w:val="22"/>
          <w:lang w:val="en-IE"/>
        </w:rPr>
        <w:t>tenderer</w:t>
      </w:r>
      <w:r w:rsidR="00BE783C" w:rsidRPr="004A05F3">
        <w:rPr>
          <w:bCs/>
          <w:sz w:val="22"/>
          <w:szCs w:val="22"/>
          <w:lang w:val="en-IE"/>
        </w:rPr>
        <w:t xml:space="preserve"> has </w:t>
      </w:r>
      <w:r w:rsidR="00E81C0B" w:rsidRPr="004A05F3">
        <w:rPr>
          <w:bCs/>
          <w:sz w:val="22"/>
          <w:szCs w:val="22"/>
          <w:lang w:val="en-IE"/>
        </w:rPr>
        <w:t>delivered supplies</w:t>
      </w:r>
      <w:r w:rsidR="001661F7" w:rsidRPr="004A05F3">
        <w:rPr>
          <w:bCs/>
          <w:sz w:val="22"/>
          <w:szCs w:val="22"/>
          <w:lang w:val="en-IE"/>
        </w:rPr>
        <w:t xml:space="preserve"> under </w:t>
      </w:r>
      <w:r w:rsidR="00BE783C" w:rsidRPr="004A05F3">
        <w:rPr>
          <w:bCs/>
          <w:sz w:val="22"/>
          <w:szCs w:val="22"/>
          <w:lang w:val="en-IE"/>
        </w:rPr>
        <w:t xml:space="preserve">at least </w:t>
      </w:r>
      <w:r w:rsidRPr="004A05F3">
        <w:rPr>
          <w:bCs/>
          <w:sz w:val="22"/>
          <w:szCs w:val="22"/>
          <w:lang w:val="en-IE"/>
        </w:rPr>
        <w:t>2</w:t>
      </w:r>
      <w:r w:rsidR="00BE783C" w:rsidRPr="004A05F3">
        <w:rPr>
          <w:bCs/>
          <w:sz w:val="22"/>
          <w:szCs w:val="22"/>
          <w:lang w:val="en-IE"/>
        </w:rPr>
        <w:t xml:space="preserve"> </w:t>
      </w:r>
      <w:r w:rsidR="001661F7" w:rsidRPr="004A05F3">
        <w:rPr>
          <w:bCs/>
          <w:sz w:val="22"/>
          <w:szCs w:val="22"/>
          <w:lang w:val="en-IE"/>
        </w:rPr>
        <w:t>contract</w:t>
      </w:r>
      <w:r w:rsidR="00BE783C" w:rsidRPr="004A05F3">
        <w:rPr>
          <w:bCs/>
          <w:sz w:val="22"/>
          <w:szCs w:val="22"/>
          <w:lang w:val="en-IE"/>
        </w:rPr>
        <w:t>s</w:t>
      </w:r>
      <w:r w:rsidRPr="004A05F3">
        <w:rPr>
          <w:bCs/>
          <w:sz w:val="22"/>
          <w:szCs w:val="22"/>
          <w:lang w:val="en-IE"/>
        </w:rPr>
        <w:t xml:space="preserve">, </w:t>
      </w:r>
      <w:r w:rsidR="001661F7" w:rsidRPr="004A05F3">
        <w:rPr>
          <w:bCs/>
          <w:sz w:val="22"/>
          <w:szCs w:val="22"/>
          <w:lang w:val="en-IE"/>
        </w:rPr>
        <w:t xml:space="preserve">each </w:t>
      </w:r>
      <w:r w:rsidR="00BE783C" w:rsidRPr="004A05F3">
        <w:rPr>
          <w:bCs/>
          <w:sz w:val="22"/>
          <w:szCs w:val="22"/>
          <w:lang w:val="en-IE"/>
        </w:rPr>
        <w:t xml:space="preserve">with a budget of at least that </w:t>
      </w:r>
      <w:r w:rsidR="00230867" w:rsidRPr="004A05F3">
        <w:rPr>
          <w:bCs/>
          <w:sz w:val="22"/>
          <w:szCs w:val="22"/>
          <w:lang w:val="en-IE"/>
        </w:rPr>
        <w:t xml:space="preserve">half </w:t>
      </w:r>
      <w:r w:rsidR="00BE783C" w:rsidRPr="004A05F3">
        <w:rPr>
          <w:bCs/>
          <w:sz w:val="22"/>
          <w:szCs w:val="22"/>
          <w:lang w:val="en-IE"/>
        </w:rPr>
        <w:t xml:space="preserve">of this contract in </w:t>
      </w:r>
      <w:r w:rsidR="00230867" w:rsidRPr="004A05F3">
        <w:rPr>
          <w:sz w:val="22"/>
          <w:szCs w:val="22"/>
          <w:lang w:val="en-GB"/>
        </w:rPr>
        <w:t>fields related to this contract</w:t>
      </w:r>
      <w:r w:rsidRPr="004A05F3">
        <w:rPr>
          <w:bCs/>
          <w:sz w:val="22"/>
          <w:szCs w:val="22"/>
          <w:lang w:val="en-IE"/>
        </w:rPr>
        <w:t>,</w:t>
      </w:r>
      <w:r w:rsidR="001661F7" w:rsidRPr="004A05F3">
        <w:rPr>
          <w:bCs/>
          <w:sz w:val="22"/>
          <w:szCs w:val="22"/>
          <w:lang w:val="en-IE"/>
        </w:rPr>
        <w:t xml:space="preserve"> which were implemented at any moment during the following period: </w:t>
      </w:r>
      <w:r w:rsidR="00230867" w:rsidRPr="004A05F3">
        <w:rPr>
          <w:bCs/>
          <w:sz w:val="22"/>
          <w:szCs w:val="22"/>
          <w:lang w:val="en-IE"/>
        </w:rPr>
        <w:t>01</w:t>
      </w:r>
      <w:r w:rsidRPr="004A05F3">
        <w:rPr>
          <w:bCs/>
          <w:sz w:val="22"/>
          <w:szCs w:val="22"/>
          <w:lang w:val="en-IE"/>
        </w:rPr>
        <w:t>/</w:t>
      </w:r>
      <w:r w:rsidR="00230867" w:rsidRPr="004A05F3">
        <w:rPr>
          <w:bCs/>
          <w:sz w:val="22"/>
          <w:szCs w:val="22"/>
          <w:lang w:val="en-IE"/>
        </w:rPr>
        <w:t>10</w:t>
      </w:r>
      <w:r w:rsidRPr="004A05F3">
        <w:rPr>
          <w:bCs/>
          <w:sz w:val="22"/>
          <w:szCs w:val="22"/>
          <w:lang w:val="en-IE"/>
        </w:rPr>
        <w:t xml:space="preserve">/2022 – </w:t>
      </w:r>
      <w:r w:rsidR="00230867" w:rsidRPr="004A05F3">
        <w:rPr>
          <w:bCs/>
          <w:sz w:val="22"/>
          <w:szCs w:val="22"/>
          <w:lang w:val="en-IE"/>
        </w:rPr>
        <w:t>30</w:t>
      </w:r>
      <w:r w:rsidR="00324448" w:rsidRPr="004A05F3">
        <w:rPr>
          <w:bCs/>
          <w:sz w:val="22"/>
          <w:szCs w:val="22"/>
          <w:lang w:val="en-IE"/>
        </w:rPr>
        <w:t>/0</w:t>
      </w:r>
      <w:r w:rsidR="00230867" w:rsidRPr="004A05F3">
        <w:rPr>
          <w:bCs/>
          <w:sz w:val="22"/>
          <w:szCs w:val="22"/>
          <w:lang w:val="en-IE"/>
        </w:rPr>
        <w:t>9</w:t>
      </w:r>
      <w:r w:rsidRPr="004A05F3">
        <w:rPr>
          <w:bCs/>
          <w:sz w:val="22"/>
          <w:szCs w:val="22"/>
          <w:lang w:val="en-IE"/>
        </w:rPr>
        <w:t>/2025</w:t>
      </w:r>
      <w:r w:rsidR="001661F7" w:rsidRPr="004A05F3">
        <w:rPr>
          <w:bCs/>
          <w:sz w:val="22"/>
          <w:szCs w:val="22"/>
          <w:lang w:val="en-IE"/>
        </w:rPr>
        <w:t>.</w:t>
      </w:r>
    </w:p>
    <w:p w14:paraId="67053663" w14:textId="170E0C85" w:rsidR="00CB2A5B" w:rsidRDefault="00CB2A5B" w:rsidP="00371C5B">
      <w:pPr>
        <w:pStyle w:val="Blockquote"/>
        <w:tabs>
          <w:tab w:val="left" w:pos="284"/>
        </w:tabs>
        <w:ind w:left="425" w:right="0"/>
        <w:jc w:val="both"/>
        <w:rPr>
          <w:sz w:val="22"/>
          <w:szCs w:val="22"/>
          <w:lang w:val="en-GB"/>
        </w:rPr>
      </w:pPr>
      <w:r w:rsidRPr="00CB2A5B">
        <w:rPr>
          <w:sz w:val="22"/>
          <w:szCs w:val="22"/>
          <w:lang w:val="en-GB"/>
        </w:rPr>
        <w:t xml:space="preserve">This means that the contract the tenderer refers to could have been </w:t>
      </w:r>
      <w:r w:rsidR="002065E9">
        <w:rPr>
          <w:sz w:val="22"/>
          <w:szCs w:val="22"/>
          <w:lang w:val="en-GB"/>
        </w:rPr>
        <w:t>implemented</w:t>
      </w:r>
      <w:r w:rsidR="002065E9" w:rsidRPr="00CB2A5B" w:rsidDel="002065E9">
        <w:rPr>
          <w:sz w:val="22"/>
          <w:szCs w:val="22"/>
          <w:lang w:val="en-GB"/>
        </w:rPr>
        <w:t xml:space="preserve"> </w:t>
      </w:r>
      <w:r w:rsidRPr="00CB2A5B">
        <w:rPr>
          <w:sz w:val="22"/>
          <w:szCs w:val="22"/>
          <w:lang w:val="en-GB"/>
        </w:rPr>
        <w:t xml:space="preserve">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w:t>
      </w:r>
      <w:r w:rsidR="002065E9" w:rsidRPr="002065E9">
        <w:rPr>
          <w:sz w:val="22"/>
          <w:szCs w:val="22"/>
          <w:lang w:val="en-GB"/>
        </w:rPr>
        <w:t xml:space="preserve">partially implemented during, but </w:t>
      </w:r>
      <w:r w:rsidRPr="00CB2A5B">
        <w:rPr>
          <w:sz w:val="22"/>
          <w:szCs w:val="22"/>
          <w:lang w:val="en-GB"/>
        </w:rPr>
        <w:t>not yet completed</w:t>
      </w:r>
      <w:r w:rsidR="002065E9">
        <w:rPr>
          <w:sz w:val="22"/>
          <w:szCs w:val="22"/>
          <w:lang w:val="en-GB"/>
        </w:rPr>
        <w:t xml:space="preserve"> within the reference period</w:t>
      </w:r>
      <w:r w:rsidRPr="00CB2A5B">
        <w:rPr>
          <w:sz w:val="22"/>
          <w:szCs w:val="22"/>
          <w:lang w:val="en-GB"/>
        </w:rPr>
        <w:t>. Only the p</w:t>
      </w:r>
      <w:r w:rsidR="002065E9">
        <w:rPr>
          <w:sz w:val="22"/>
          <w:szCs w:val="22"/>
          <w:lang w:val="en-GB"/>
        </w:rPr>
        <w:t>a</w:t>
      </w:r>
      <w:r w:rsidRPr="00CB2A5B">
        <w:rPr>
          <w:sz w:val="22"/>
          <w:szCs w:val="22"/>
          <w:lang w:val="en-GB"/>
        </w:rPr>
        <w:t>rt completed during the reference period will be taken into consideration. This p</w:t>
      </w:r>
      <w:r w:rsidR="002065E9">
        <w:rPr>
          <w:sz w:val="22"/>
          <w:szCs w:val="22"/>
          <w:lang w:val="en-GB"/>
        </w:rPr>
        <w:t>art</w:t>
      </w:r>
      <w:r w:rsidRPr="00CB2A5B">
        <w:rPr>
          <w:sz w:val="22"/>
          <w:szCs w:val="22"/>
          <w:lang w:val="en-GB"/>
        </w:rPr>
        <w:t xml:space="preserve"> will have to be supported by documentary evidence (</w:t>
      </w:r>
      <w:r w:rsidR="002065E9" w:rsidRPr="005C26A3">
        <w:rPr>
          <w:sz w:val="22"/>
          <w:szCs w:val="22"/>
          <w:lang w:val="en-GB"/>
        </w:rPr>
        <w:t xml:space="preserve">approval of report or </w:t>
      </w:r>
      <w:r w:rsidR="002065E9">
        <w:rPr>
          <w:sz w:val="22"/>
          <w:szCs w:val="22"/>
          <w:lang w:val="en-GB"/>
        </w:rPr>
        <w:t>deliverable</w:t>
      </w:r>
      <w:r w:rsidR="002065E9" w:rsidRPr="005C26A3">
        <w:rPr>
          <w:sz w:val="22"/>
          <w:szCs w:val="22"/>
          <w:lang w:val="en-GB"/>
        </w:rPr>
        <w:t xml:space="preserve">, proof of payment, </w:t>
      </w:r>
      <w:r w:rsidRPr="00CB2A5B">
        <w:rPr>
          <w:sz w:val="22"/>
          <w:szCs w:val="22"/>
          <w:lang w:val="en-GB"/>
        </w:rPr>
        <w:t>statement or certificate from the entity which awarded the contract) also detailing its value. If a tenderer has implemented the supply contract in a consortium, the percentage that the tenderer has successfully completed must be clear from the documentary evidence</w:t>
      </w:r>
      <w:r w:rsidR="002065E9">
        <w:rPr>
          <w:sz w:val="22"/>
          <w:szCs w:val="22"/>
          <w:lang w:val="en-GB"/>
        </w:rPr>
        <w:t xml:space="preserve"> </w:t>
      </w:r>
      <w:r w:rsidR="002065E9" w:rsidRPr="005C26A3">
        <w:rPr>
          <w:sz w:val="22"/>
          <w:szCs w:val="22"/>
          <w:lang w:val="en-GB"/>
        </w:rPr>
        <w:t>(such as consortium agreement and bank transfers between consortium members</w:t>
      </w:r>
      <w:r w:rsidR="002065E9">
        <w:rPr>
          <w:sz w:val="22"/>
          <w:szCs w:val="22"/>
          <w:lang w:val="en-GB"/>
        </w:rPr>
        <w:t>)</w:t>
      </w:r>
      <w:r w:rsidRPr="00CB2A5B">
        <w:rPr>
          <w:sz w:val="22"/>
          <w:szCs w:val="22"/>
          <w:lang w:val="en-GB"/>
        </w:rPr>
        <w:t>, together with a description of the nature of the supplies provided.</w:t>
      </w:r>
    </w:p>
    <w:p w14:paraId="36FE5E2E" w14:textId="76250C06"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90581D">
        <w:rPr>
          <w:rStyle w:val="Strong"/>
          <w:sz w:val="22"/>
          <w:szCs w:val="22"/>
          <w:lang w:val="en-GB"/>
        </w:rPr>
        <w:t>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2C3D7ABF" w:rsidR="006F5FD0" w:rsidRPr="00B33EE6" w:rsidRDefault="00831982" w:rsidP="00371C5B">
      <w:pPr>
        <w:pStyle w:val="Blockquote"/>
        <w:spacing w:before="0"/>
        <w:ind w:left="425" w:right="0"/>
        <w:jc w:val="both"/>
        <w:rPr>
          <w:sz w:val="22"/>
          <w:szCs w:val="22"/>
          <w:lang w:val="en-GB"/>
        </w:rPr>
      </w:pPr>
      <w:r w:rsidRPr="003F1149">
        <w:rPr>
          <w:sz w:val="22"/>
          <w:szCs w:val="22"/>
          <w:lang w:val="en-GB"/>
        </w:rPr>
        <w:t>Price</w:t>
      </w:r>
      <w:r>
        <w:rPr>
          <w:sz w:val="22"/>
          <w:szCs w:val="22"/>
          <w:lang w:val="en-GB"/>
        </w:rPr>
        <w:t>.</w:t>
      </w:r>
    </w:p>
    <w:p w14:paraId="793B56EE" w14:textId="78921EC5" w:rsidR="006F5FD0" w:rsidRPr="00B33EE6" w:rsidRDefault="00866320" w:rsidP="00347E84">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528CA491">
                <wp:simplePos x="0" y="0"/>
                <wp:positionH relativeFrom="column">
                  <wp:posOffset>0</wp:posOffset>
                </wp:positionH>
                <wp:positionV relativeFrom="paragraph">
                  <wp:posOffset>152400</wp:posOffset>
                </wp:positionV>
                <wp:extent cx="5943600" cy="635"/>
                <wp:effectExtent l="0" t="0" r="0" b="0"/>
                <wp:wrapNone/>
                <wp:docPr id="18519860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C1296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rsidP="00347E84">
      <w:pPr>
        <w:keepNext/>
        <w:jc w:val="center"/>
        <w:rPr>
          <w:sz w:val="28"/>
          <w:szCs w:val="28"/>
          <w:lang w:val="en-GB"/>
        </w:rPr>
      </w:pPr>
      <w:r w:rsidRPr="00B33EE6">
        <w:rPr>
          <w:rStyle w:val="Strong"/>
          <w:sz w:val="28"/>
          <w:szCs w:val="28"/>
          <w:lang w:val="en-GB"/>
        </w:rPr>
        <w:t>TENDERING</w:t>
      </w:r>
    </w:p>
    <w:p w14:paraId="592B0149" w14:textId="212E2889"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3D71ADD0" w:rsidR="006F5FD0" w:rsidRPr="00B33EE6" w:rsidRDefault="00994EA3" w:rsidP="00371C5B">
      <w:pPr>
        <w:pStyle w:val="Blockquote"/>
        <w:spacing w:before="40" w:after="60"/>
        <w:ind w:left="425" w:right="0"/>
        <w:jc w:val="both"/>
        <w:rPr>
          <w:i/>
          <w:sz w:val="22"/>
          <w:szCs w:val="22"/>
          <w:lang w:val="en-GB"/>
        </w:rPr>
      </w:pPr>
      <w:r w:rsidRPr="004A05F3">
        <w:rPr>
          <w:rStyle w:val="Emphasis"/>
          <w:i w:val="0"/>
          <w:sz w:val="22"/>
          <w:szCs w:val="22"/>
          <w:lang w:val="en-GB"/>
        </w:rPr>
        <w:t xml:space="preserve">The deadline for </w:t>
      </w:r>
      <w:r w:rsidR="0013314C" w:rsidRPr="004A05F3">
        <w:rPr>
          <w:rStyle w:val="Emphasis"/>
          <w:i w:val="0"/>
          <w:sz w:val="22"/>
          <w:szCs w:val="22"/>
          <w:lang w:val="en-GB"/>
        </w:rPr>
        <w:t xml:space="preserve">submission </w:t>
      </w:r>
      <w:r w:rsidRPr="004A05F3">
        <w:rPr>
          <w:rStyle w:val="Emphasis"/>
          <w:i w:val="0"/>
          <w:sz w:val="22"/>
          <w:szCs w:val="22"/>
          <w:lang w:val="en-GB"/>
        </w:rPr>
        <w:t xml:space="preserve">of tenders is </w:t>
      </w:r>
      <w:r w:rsidR="00230867" w:rsidRPr="004A05F3">
        <w:rPr>
          <w:rStyle w:val="Emphasis"/>
          <w:b/>
          <w:bCs/>
          <w:i w:val="0"/>
          <w:sz w:val="22"/>
          <w:szCs w:val="22"/>
          <w:lang w:val="en-GB"/>
        </w:rPr>
        <w:t>03</w:t>
      </w:r>
      <w:r w:rsidR="00324448" w:rsidRPr="004A05F3">
        <w:rPr>
          <w:rStyle w:val="Emphasis"/>
          <w:b/>
          <w:bCs/>
          <w:i w:val="0"/>
          <w:sz w:val="22"/>
          <w:szCs w:val="22"/>
          <w:lang w:val="en-GB"/>
        </w:rPr>
        <w:t xml:space="preserve"> </w:t>
      </w:r>
      <w:r w:rsidR="00230867" w:rsidRPr="004A05F3">
        <w:rPr>
          <w:rStyle w:val="Emphasis"/>
          <w:b/>
          <w:bCs/>
          <w:i w:val="0"/>
          <w:sz w:val="22"/>
          <w:szCs w:val="22"/>
          <w:lang w:val="en-GB"/>
        </w:rPr>
        <w:t>November</w:t>
      </w:r>
      <w:r w:rsidR="00324448" w:rsidRPr="004A05F3">
        <w:rPr>
          <w:rStyle w:val="Emphasis"/>
          <w:b/>
          <w:bCs/>
          <w:i w:val="0"/>
          <w:sz w:val="22"/>
          <w:szCs w:val="22"/>
          <w:lang w:val="en-GB"/>
        </w:rPr>
        <w:t xml:space="preserve"> 2025 at 14:00 hours local time</w:t>
      </w:r>
      <w:r w:rsidRPr="004A05F3">
        <w:rPr>
          <w:rStyle w:val="Emphasis"/>
          <w:i w:val="0"/>
          <w:sz w:val="22"/>
          <w:szCs w:val="22"/>
          <w:lang w:val="en-GB"/>
        </w:rPr>
        <w:t>.</w:t>
      </w:r>
      <w:bookmarkStart w:id="16" w:name="_GoBack"/>
      <w:bookmarkEnd w:id="16"/>
    </w:p>
    <w:p w14:paraId="7D60F8E6" w14:textId="62D49E53"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8</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371C5B">
      <w:pPr>
        <w:pStyle w:val="Blockquote"/>
        <w:spacing w:before="40" w:after="60"/>
        <w:ind w:left="425" w:right="0"/>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371C5B">
      <w:pPr>
        <w:pStyle w:val="Blockquote"/>
        <w:ind w:left="425" w:right="0"/>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CACE45" w:rsidR="004D5EDB" w:rsidRPr="00886ED7" w:rsidRDefault="00575035" w:rsidP="00371C5B">
      <w:pPr>
        <w:pStyle w:val="Blockquote"/>
        <w:ind w:left="425" w:right="0"/>
        <w:jc w:val="both"/>
        <w:rPr>
          <w:sz w:val="22"/>
          <w:szCs w:val="22"/>
          <w:lang w:val="en-GB"/>
        </w:rPr>
      </w:pPr>
      <w:hyperlink r:id="rId8" w:anchor="Annexes-AnnexesA(Ch.2):General" w:history="1">
        <w:r w:rsidR="00886ED7"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rsidP="00371C5B">
      <w:pPr>
        <w:pStyle w:val="Blockquote"/>
        <w:ind w:left="425" w:right="0"/>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40FAD56E" w:rsidR="006F5FD0" w:rsidRPr="00371C5B" w:rsidRDefault="00033EFD" w:rsidP="00371C5B">
      <w:pPr>
        <w:keepNext/>
        <w:widowControl/>
        <w:spacing w:before="240" w:after="120"/>
        <w:ind w:left="426" w:hanging="426"/>
        <w:outlineLvl w:val="0"/>
        <w:rPr>
          <w:rStyle w:val="Strong"/>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How </w:t>
      </w:r>
      <w:r w:rsidR="006714ED" w:rsidRPr="00B33EE6">
        <w:rPr>
          <w:rStyle w:val="Strong"/>
          <w:sz w:val="22"/>
          <w:szCs w:val="22"/>
          <w:lang w:val="en-GB"/>
        </w:rPr>
        <w:t>tenders</w:t>
      </w:r>
      <w:r w:rsidR="006F5FD0" w:rsidRPr="00B33EE6">
        <w:rPr>
          <w:rStyle w:val="Strong"/>
          <w:sz w:val="22"/>
          <w:szCs w:val="22"/>
          <w:lang w:val="en-GB"/>
        </w:rPr>
        <w:t xml:space="preserve"> may be submitted</w:t>
      </w:r>
    </w:p>
    <w:p w14:paraId="7919897A" w14:textId="6CB53E63" w:rsidR="006F5FD0" w:rsidRPr="00B33EE6" w:rsidRDefault="006714ED" w:rsidP="00371C5B">
      <w:pPr>
        <w:pStyle w:val="Blockquote"/>
        <w:spacing w:before="40" w:after="120"/>
        <w:ind w:left="425" w:right="0"/>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enderers.</w:t>
      </w:r>
    </w:p>
    <w:p w14:paraId="63BBF791" w14:textId="77777777" w:rsidR="00EF03C9" w:rsidRPr="00B33EE6" w:rsidRDefault="006714ED" w:rsidP="00371C5B">
      <w:pPr>
        <w:pStyle w:val="Blockquote"/>
        <w:spacing w:before="0" w:after="120"/>
        <w:ind w:left="425" w:right="0"/>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2CED2608" w:rsidR="00502BBF" w:rsidRPr="00B33EE6" w:rsidRDefault="00502BBF" w:rsidP="00371C5B">
      <w:pPr>
        <w:pStyle w:val="Blockquote"/>
        <w:spacing w:before="40" w:after="120"/>
        <w:ind w:left="425" w:right="0"/>
        <w:jc w:val="both"/>
        <w:rPr>
          <w:rStyle w:val="Strong"/>
          <w:b w:val="0"/>
          <w:sz w:val="22"/>
          <w:szCs w:val="22"/>
          <w:lang w:val="en-GB"/>
        </w:rPr>
      </w:pPr>
      <w:r w:rsidRPr="00B33EE6">
        <w:rPr>
          <w:sz w:val="22"/>
          <w:szCs w:val="22"/>
          <w:lang w:val="en-GB"/>
        </w:rPr>
        <w:t>By submitting a tender</w:t>
      </w:r>
      <w:r w:rsidR="00DA388D">
        <w:rPr>
          <w:sz w:val="22"/>
          <w:szCs w:val="22"/>
          <w:lang w:val="en-GB"/>
        </w:rPr>
        <w:t>,</w:t>
      </w:r>
      <w:r w:rsidRPr="00B33EE6">
        <w:rPr>
          <w:sz w:val="22"/>
          <w:szCs w:val="22"/>
          <w:lang w:val="en-GB"/>
        </w:rPr>
        <w:t xml:space="preserve"> tenderers accept to receive notification of the outcome of the procedure by electronic means.</w:t>
      </w:r>
    </w:p>
    <w:p w14:paraId="78DFA6DC" w14:textId="002747CA" w:rsidR="003262FC"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0</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71C5B">
      <w:pPr>
        <w:pStyle w:val="Blockquote"/>
        <w:spacing w:before="40" w:after="120"/>
        <w:ind w:left="425" w:right="0"/>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371C5B">
      <w:pPr>
        <w:pStyle w:val="Blockquote"/>
        <w:spacing w:before="0" w:after="120"/>
        <w:ind w:left="425" w:right="0"/>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DF9D28B" w:rsidR="006F5FD0"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4531503A" w:rsidR="006F5FD0" w:rsidRPr="00B33EE6" w:rsidRDefault="006F5FD0" w:rsidP="00371C5B">
      <w:pPr>
        <w:pStyle w:val="Blockquote"/>
        <w:spacing w:before="40" w:after="120"/>
        <w:ind w:left="425" w:right="0"/>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r w:rsidR="00D66180" w:rsidRPr="00D66180">
        <w:rPr>
          <w:rStyle w:val="Emphasis"/>
          <w:i w:val="0"/>
          <w:sz w:val="22"/>
          <w:szCs w:val="22"/>
          <w:lang w:val="en-GB"/>
        </w:rPr>
        <w:t>/ in any of official languages of programme participating countries in Latin letter.</w:t>
      </w:r>
    </w:p>
    <w:p w14:paraId="38DC66B2" w14:textId="7F95E190" w:rsidR="00E9047D" w:rsidRPr="00371C5B" w:rsidRDefault="00326B16" w:rsidP="00371C5B">
      <w:pPr>
        <w:keepNext/>
        <w:widowControl/>
        <w:spacing w:before="240" w:after="120"/>
        <w:ind w:left="426" w:hanging="426"/>
        <w:outlineLvl w:val="0"/>
        <w:rPr>
          <w:rStyle w:val="Strong"/>
        </w:rPr>
      </w:pPr>
      <w:r w:rsidRPr="00371C5B">
        <w:rPr>
          <w:rStyle w:val="Strong"/>
        </w:rPr>
        <w:t>2</w:t>
      </w:r>
      <w:r w:rsidR="00033EFD">
        <w:rPr>
          <w:rStyle w:val="Strong"/>
        </w:rPr>
        <w:t>2</w:t>
      </w:r>
      <w:r w:rsidR="008272C0" w:rsidRPr="00371C5B">
        <w:rPr>
          <w:rStyle w:val="Strong"/>
        </w:rPr>
        <w:t>.</w:t>
      </w:r>
      <w:r w:rsidR="00FD5083">
        <w:rPr>
          <w:rStyle w:val="Strong"/>
        </w:rPr>
        <w:tab/>
      </w:r>
      <w:r w:rsidR="00E9047D" w:rsidRPr="00371C5B">
        <w:rPr>
          <w:rStyle w:val="Strong"/>
        </w:rPr>
        <w:t>Additional information</w:t>
      </w:r>
    </w:p>
    <w:p w14:paraId="4BE7CC91" w14:textId="10636D07" w:rsidR="00D83B8A" w:rsidRDefault="00AF412E" w:rsidP="00A421E5">
      <w:pPr>
        <w:widowControl/>
        <w:snapToGrid w:val="0"/>
        <w:spacing w:after="120"/>
        <w:ind w:left="425"/>
        <w:jc w:val="both"/>
        <w:rPr>
          <w:sz w:val="22"/>
          <w:szCs w:val="22"/>
          <w:lang w:val="en-GB"/>
        </w:rPr>
      </w:pPr>
      <w:r w:rsidRPr="008660AD">
        <w:rPr>
          <w:sz w:val="22"/>
          <w:szCs w:val="22"/>
          <w:lang w:val="en-GB"/>
        </w:rPr>
        <w:t xml:space="preserve">Financial data to be provided by the candidate in the standard application form must be expressed in </w:t>
      </w:r>
      <w:r w:rsidRPr="00A421E5">
        <w:rPr>
          <w:sz w:val="22"/>
          <w:szCs w:val="22"/>
          <w:lang w:val="en-GB"/>
        </w:rPr>
        <w:t>EUR</w:t>
      </w:r>
      <w:r w:rsidR="00D66180">
        <w:rPr>
          <w:sz w:val="22"/>
          <w:szCs w:val="22"/>
          <w:lang w:val="en-GB"/>
        </w:rPr>
        <w:t>.</w:t>
      </w:r>
    </w:p>
    <w:p w14:paraId="4EE4635D" w14:textId="620012D2" w:rsidR="00E9047D" w:rsidRPr="00F9055E" w:rsidRDefault="00D83B8A" w:rsidP="00A421E5">
      <w:pPr>
        <w:widowControl/>
        <w:snapToGrid w:val="0"/>
        <w:spacing w:after="120"/>
        <w:ind w:left="425"/>
        <w:jc w:val="both"/>
        <w:rPr>
          <w:sz w:val="22"/>
          <w:szCs w:val="22"/>
          <w:lang w:val="en-GB"/>
        </w:rPr>
      </w:pPr>
      <w:r w:rsidRPr="003338CD">
        <w:rPr>
          <w:sz w:val="22"/>
          <w:szCs w:val="22"/>
          <w:lang w:val="en-GB"/>
        </w:rPr>
        <w:t>No tender guarantee is required.</w:t>
      </w:r>
    </w:p>
    <w:p w14:paraId="2AC4BD41" w14:textId="5FD6B201" w:rsidR="007F6AA9" w:rsidRPr="00F9055E" w:rsidRDefault="00033EFD" w:rsidP="00371C5B">
      <w:pPr>
        <w:pStyle w:val="Blockquote"/>
        <w:spacing w:before="480"/>
        <w:ind w:left="357" w:right="357"/>
        <w:jc w:val="center"/>
        <w:rPr>
          <w:sz w:val="22"/>
          <w:szCs w:val="22"/>
          <w:lang w:val="en-GB"/>
        </w:rPr>
      </w:pPr>
      <w:r>
        <w:rPr>
          <w:sz w:val="22"/>
          <w:szCs w:val="22"/>
          <w:lang w:val="en-GB"/>
        </w:rPr>
        <w:t>* * *</w:t>
      </w:r>
    </w:p>
    <w:sectPr w:rsidR="007F6AA9" w:rsidRPr="00F9055E" w:rsidSect="00A421E5">
      <w:headerReference w:type="default" r:id="rId9"/>
      <w:footerReference w:type="default" r:id="rId10"/>
      <w:pgSz w:w="12240" w:h="15840"/>
      <w:pgMar w:top="2127" w:right="1440" w:bottom="1276" w:left="1418" w:header="426" w:footer="62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8AA61" w14:textId="77777777" w:rsidR="00575035" w:rsidRDefault="00575035">
      <w:r>
        <w:separator/>
      </w:r>
    </w:p>
  </w:endnote>
  <w:endnote w:type="continuationSeparator" w:id="0">
    <w:p w14:paraId="7AEF40C9" w14:textId="77777777" w:rsidR="00575035" w:rsidRDefault="00575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201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EBA12" w14:textId="292A5E0F" w:rsidR="00EF0A8C" w:rsidRPr="00B33EE6" w:rsidRDefault="00FD5083" w:rsidP="00F9055E">
    <w:pPr>
      <w:pStyle w:val="Footer"/>
      <w:tabs>
        <w:tab w:val="clear" w:pos="4320"/>
        <w:tab w:val="clear" w:pos="8640"/>
        <w:tab w:val="right" w:pos="9214"/>
      </w:tabs>
      <w:spacing w:before="120" w:after="0"/>
      <w:rPr>
        <w:b/>
        <w:sz w:val="20"/>
        <w:lang w:val="en-GB"/>
      </w:rPr>
    </w:pPr>
    <w:r>
      <w:rPr>
        <w:b/>
        <w:sz w:val="20"/>
      </w:rPr>
      <w:t>202</w:t>
    </w:r>
    <w:r w:rsidR="00C640A4">
      <w:rPr>
        <w:b/>
        <w:sz w:val="20"/>
      </w:rPr>
      <w:t>5</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4A05F3">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4A05F3">
      <w:rPr>
        <w:rStyle w:val="PageNumber"/>
        <w:noProof/>
        <w:sz w:val="18"/>
        <w:szCs w:val="18"/>
        <w:lang w:val="en-GB"/>
      </w:rPr>
      <w:t>5</w:t>
    </w:r>
    <w:r w:rsidR="00B33EE6" w:rsidRPr="00B33EE6">
      <w:rPr>
        <w:rStyle w:val="PageNumber"/>
        <w:sz w:val="18"/>
        <w:szCs w:val="18"/>
        <w:lang w:val="en-GB"/>
      </w:rPr>
      <w:fldChar w:fldCharType="end"/>
    </w:r>
  </w:p>
  <w:p w14:paraId="77551F46" w14:textId="2A0EDC76" w:rsidR="00EF0A8C" w:rsidRPr="00B33EE6" w:rsidRDefault="00FD5083" w:rsidP="00FD5083">
    <w:pPr>
      <w:pStyle w:val="Footer"/>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C640A4">
      <w:rPr>
        <w:noProof/>
        <w:sz w:val="18"/>
        <w:szCs w:val="18"/>
        <w:lang w:val="en-GB"/>
      </w:rPr>
      <w:t>c2_contractnotice_simp_neg_en.docx</w:t>
    </w:r>
    <w:r>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92713" w14:textId="77777777" w:rsidR="00575035" w:rsidRDefault="00575035">
      <w:r>
        <w:separator/>
      </w:r>
    </w:p>
  </w:footnote>
  <w:footnote w:type="continuationSeparator" w:id="0">
    <w:p w14:paraId="1696F619" w14:textId="77777777" w:rsidR="00575035" w:rsidRDefault="00575035">
      <w:r>
        <w:continuationSeparator/>
      </w:r>
    </w:p>
  </w:footnote>
  <w:footnote w:id="1">
    <w:p w14:paraId="0AE5234C" w14:textId="090A2C47" w:rsidR="00F06A6A" w:rsidRPr="00371C5B" w:rsidRDefault="00F06A6A" w:rsidP="00371C5B">
      <w:pPr>
        <w:pStyle w:val="FootnoteText"/>
        <w:ind w:left="284" w:hanging="284"/>
        <w:jc w:val="both"/>
        <w:rPr>
          <w:lang w:val="en-IE"/>
        </w:rPr>
      </w:pPr>
      <w:r>
        <w:rPr>
          <w:rStyle w:val="FootnoteReference"/>
        </w:rPr>
        <w:footnoteRef/>
      </w:r>
      <w:r w:rsidR="004563E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rPr>
          <w:t>EU Sanctions Map</w:t>
        </w:r>
      </w:hyperlink>
      <w:r w:rsidRPr="005C423F">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A43FC" w14:textId="08DE07C2" w:rsidR="00371C5B" w:rsidRDefault="00165410">
    <w:pPr>
      <w:pStyle w:val="Header"/>
    </w:pPr>
    <w:r w:rsidRPr="00CA259F">
      <w:rPr>
        <w:noProof/>
        <w:snapToGrid/>
      </w:rPr>
      <w:drawing>
        <wp:inline distT="0" distB="0" distL="0" distR="0" wp14:anchorId="6B569532" wp14:editId="5F13778B">
          <wp:extent cx="2743200" cy="1095375"/>
          <wp:effectExtent l="0" t="0" r="0" b="9525"/>
          <wp:docPr id="1452163306" name="Picture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up of a flag&#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10953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3ECF59E5"/>
    <w:multiLevelType w:val="multilevel"/>
    <w:tmpl w:val="BD4A5376"/>
    <w:lvl w:ilvl="0">
      <w:start w:val="1"/>
      <w:numFmt w:val="decimal"/>
      <w:lvlText w:val="%1"/>
      <w:lvlJc w:val="left"/>
      <w:pPr>
        <w:ind w:left="360" w:hanging="360"/>
      </w:pPr>
      <w:rPr>
        <w:rFonts w:hint="default"/>
      </w:rPr>
    </w:lvl>
    <w:lvl w:ilvl="1">
      <w:start w:val="1"/>
      <w:numFmt w:val="decimal"/>
      <w:lvlText w:val="%1.%2"/>
      <w:lvlJc w:val="left"/>
      <w:pPr>
        <w:ind w:left="854" w:hanging="360"/>
      </w:pPr>
      <w:rPr>
        <w:rFonts w:hint="default"/>
      </w:rPr>
    </w:lvl>
    <w:lvl w:ilvl="2">
      <w:start w:val="1"/>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392" w:hanging="1440"/>
      </w:pPr>
      <w:rPr>
        <w:rFont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3"/>
  </w:num>
  <w:num w:numId="37">
    <w:abstractNumId w:val="37"/>
  </w:num>
  <w:num w:numId="38">
    <w:abstractNumId w:val="39"/>
  </w:num>
  <w:num w:numId="39">
    <w:abstractNumId w:val="44"/>
  </w:num>
  <w:num w:numId="40">
    <w:abstractNumId w:val="45"/>
  </w:num>
  <w:num w:numId="41">
    <w:abstractNumId w:val="40"/>
  </w:num>
  <w:num w:numId="42">
    <w:abstractNumId w:val="43"/>
  </w:num>
  <w:num w:numId="43">
    <w:abstractNumId w:val="38"/>
  </w:num>
  <w:num w:numId="44">
    <w:abstractNumId w:val="34"/>
  </w:num>
  <w:num w:numId="45">
    <w:abstractNumId w:val="46"/>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46A"/>
    <w:rsid w:val="00012AF1"/>
    <w:rsid w:val="00013EB7"/>
    <w:rsid w:val="00013F0F"/>
    <w:rsid w:val="00014B76"/>
    <w:rsid w:val="0002004D"/>
    <w:rsid w:val="00022D5F"/>
    <w:rsid w:val="0003004C"/>
    <w:rsid w:val="00030910"/>
    <w:rsid w:val="000333FE"/>
    <w:rsid w:val="00033EFD"/>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055B7"/>
    <w:rsid w:val="0013314C"/>
    <w:rsid w:val="001429BC"/>
    <w:rsid w:val="0014405E"/>
    <w:rsid w:val="00145CFA"/>
    <w:rsid w:val="00150687"/>
    <w:rsid w:val="00165410"/>
    <w:rsid w:val="001661F7"/>
    <w:rsid w:val="00171F2E"/>
    <w:rsid w:val="00172785"/>
    <w:rsid w:val="00180D47"/>
    <w:rsid w:val="001903F3"/>
    <w:rsid w:val="001951FE"/>
    <w:rsid w:val="001A59BB"/>
    <w:rsid w:val="001A66C2"/>
    <w:rsid w:val="001B2571"/>
    <w:rsid w:val="001C21A2"/>
    <w:rsid w:val="001C544A"/>
    <w:rsid w:val="001C64F1"/>
    <w:rsid w:val="001D19A6"/>
    <w:rsid w:val="001D55F7"/>
    <w:rsid w:val="001D7B2B"/>
    <w:rsid w:val="001E50A2"/>
    <w:rsid w:val="001F0839"/>
    <w:rsid w:val="001F1546"/>
    <w:rsid w:val="001F780C"/>
    <w:rsid w:val="00201320"/>
    <w:rsid w:val="002065E9"/>
    <w:rsid w:val="002078BB"/>
    <w:rsid w:val="00212656"/>
    <w:rsid w:val="00213E14"/>
    <w:rsid w:val="00216179"/>
    <w:rsid w:val="00226829"/>
    <w:rsid w:val="00230867"/>
    <w:rsid w:val="00233B9D"/>
    <w:rsid w:val="00233DDA"/>
    <w:rsid w:val="00235A71"/>
    <w:rsid w:val="00240C5C"/>
    <w:rsid w:val="002413EA"/>
    <w:rsid w:val="00243849"/>
    <w:rsid w:val="002575AA"/>
    <w:rsid w:val="00266EB9"/>
    <w:rsid w:val="002753AD"/>
    <w:rsid w:val="002845CD"/>
    <w:rsid w:val="00287536"/>
    <w:rsid w:val="0029746D"/>
    <w:rsid w:val="002B2145"/>
    <w:rsid w:val="002D266E"/>
    <w:rsid w:val="002D4121"/>
    <w:rsid w:val="002E1B83"/>
    <w:rsid w:val="002E25ED"/>
    <w:rsid w:val="002E2635"/>
    <w:rsid w:val="002E7D33"/>
    <w:rsid w:val="002F4E69"/>
    <w:rsid w:val="003045C3"/>
    <w:rsid w:val="00313F6B"/>
    <w:rsid w:val="00322D52"/>
    <w:rsid w:val="003232ED"/>
    <w:rsid w:val="00323BDD"/>
    <w:rsid w:val="00324448"/>
    <w:rsid w:val="003262FC"/>
    <w:rsid w:val="00326B16"/>
    <w:rsid w:val="00330261"/>
    <w:rsid w:val="003338CD"/>
    <w:rsid w:val="003378F6"/>
    <w:rsid w:val="00342E7F"/>
    <w:rsid w:val="00347673"/>
    <w:rsid w:val="00347E84"/>
    <w:rsid w:val="003574F5"/>
    <w:rsid w:val="00357E25"/>
    <w:rsid w:val="00362824"/>
    <w:rsid w:val="00363ECB"/>
    <w:rsid w:val="00364564"/>
    <w:rsid w:val="003670BA"/>
    <w:rsid w:val="003717BC"/>
    <w:rsid w:val="00371C5B"/>
    <w:rsid w:val="003861D9"/>
    <w:rsid w:val="0038633F"/>
    <w:rsid w:val="00386E96"/>
    <w:rsid w:val="0038796E"/>
    <w:rsid w:val="0039147E"/>
    <w:rsid w:val="00391D5F"/>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3EB"/>
    <w:rsid w:val="004567DF"/>
    <w:rsid w:val="00472630"/>
    <w:rsid w:val="00473883"/>
    <w:rsid w:val="00476D80"/>
    <w:rsid w:val="00480B5C"/>
    <w:rsid w:val="00480C87"/>
    <w:rsid w:val="004850B4"/>
    <w:rsid w:val="004901C2"/>
    <w:rsid w:val="004957E5"/>
    <w:rsid w:val="004A05F3"/>
    <w:rsid w:val="004B1866"/>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75035"/>
    <w:rsid w:val="00584BF4"/>
    <w:rsid w:val="00584D96"/>
    <w:rsid w:val="00590ADB"/>
    <w:rsid w:val="005A21DC"/>
    <w:rsid w:val="005B35A2"/>
    <w:rsid w:val="005B4F80"/>
    <w:rsid w:val="005B5E3C"/>
    <w:rsid w:val="005C71EF"/>
    <w:rsid w:val="005D41DD"/>
    <w:rsid w:val="005F0AF0"/>
    <w:rsid w:val="005F776D"/>
    <w:rsid w:val="0060359F"/>
    <w:rsid w:val="0061336A"/>
    <w:rsid w:val="006277A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3B72"/>
    <w:rsid w:val="006D6080"/>
    <w:rsid w:val="006E3377"/>
    <w:rsid w:val="006E625F"/>
    <w:rsid w:val="006F5FD0"/>
    <w:rsid w:val="006F7885"/>
    <w:rsid w:val="007046C8"/>
    <w:rsid w:val="00706E7C"/>
    <w:rsid w:val="00710A38"/>
    <w:rsid w:val="00711A01"/>
    <w:rsid w:val="007121FB"/>
    <w:rsid w:val="007129D6"/>
    <w:rsid w:val="00712CB3"/>
    <w:rsid w:val="00715755"/>
    <w:rsid w:val="00730668"/>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87BB5"/>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CDB"/>
    <w:rsid w:val="008272C0"/>
    <w:rsid w:val="00831982"/>
    <w:rsid w:val="008323D3"/>
    <w:rsid w:val="008351FF"/>
    <w:rsid w:val="00846F87"/>
    <w:rsid w:val="00862885"/>
    <w:rsid w:val="008660AD"/>
    <w:rsid w:val="00866320"/>
    <w:rsid w:val="0087086B"/>
    <w:rsid w:val="00870FC9"/>
    <w:rsid w:val="00881C2D"/>
    <w:rsid w:val="00886ED7"/>
    <w:rsid w:val="00894E29"/>
    <w:rsid w:val="0089693D"/>
    <w:rsid w:val="008A1184"/>
    <w:rsid w:val="008A1514"/>
    <w:rsid w:val="008B0830"/>
    <w:rsid w:val="008B77CD"/>
    <w:rsid w:val="008C3178"/>
    <w:rsid w:val="008C68A0"/>
    <w:rsid w:val="008D1243"/>
    <w:rsid w:val="008D3E45"/>
    <w:rsid w:val="008E13D5"/>
    <w:rsid w:val="008E2D12"/>
    <w:rsid w:val="008F294D"/>
    <w:rsid w:val="009017AA"/>
    <w:rsid w:val="009055F3"/>
    <w:rsid w:val="0090581D"/>
    <w:rsid w:val="009066B6"/>
    <w:rsid w:val="00907556"/>
    <w:rsid w:val="00913817"/>
    <w:rsid w:val="0092504E"/>
    <w:rsid w:val="00925F7F"/>
    <w:rsid w:val="009260B8"/>
    <w:rsid w:val="0092731B"/>
    <w:rsid w:val="009317C0"/>
    <w:rsid w:val="009352F4"/>
    <w:rsid w:val="00940E1D"/>
    <w:rsid w:val="009510CB"/>
    <w:rsid w:val="00952960"/>
    <w:rsid w:val="00954FB8"/>
    <w:rsid w:val="00956BA0"/>
    <w:rsid w:val="0096032B"/>
    <w:rsid w:val="009707C4"/>
    <w:rsid w:val="00970A93"/>
    <w:rsid w:val="00970B01"/>
    <w:rsid w:val="00971962"/>
    <w:rsid w:val="00971CC5"/>
    <w:rsid w:val="00980AEA"/>
    <w:rsid w:val="00991002"/>
    <w:rsid w:val="00994EA3"/>
    <w:rsid w:val="009A38DE"/>
    <w:rsid w:val="009B06B5"/>
    <w:rsid w:val="009B5369"/>
    <w:rsid w:val="009B69BE"/>
    <w:rsid w:val="009D2D7B"/>
    <w:rsid w:val="009E5BC1"/>
    <w:rsid w:val="009E5C83"/>
    <w:rsid w:val="009F0852"/>
    <w:rsid w:val="009F128B"/>
    <w:rsid w:val="009F5FB4"/>
    <w:rsid w:val="00A00BD5"/>
    <w:rsid w:val="00A021B5"/>
    <w:rsid w:val="00A02E6B"/>
    <w:rsid w:val="00A03055"/>
    <w:rsid w:val="00A046E7"/>
    <w:rsid w:val="00A04B00"/>
    <w:rsid w:val="00A054B7"/>
    <w:rsid w:val="00A11931"/>
    <w:rsid w:val="00A171EA"/>
    <w:rsid w:val="00A22177"/>
    <w:rsid w:val="00A236A4"/>
    <w:rsid w:val="00A26390"/>
    <w:rsid w:val="00A35081"/>
    <w:rsid w:val="00A36F1C"/>
    <w:rsid w:val="00A421E5"/>
    <w:rsid w:val="00A433A6"/>
    <w:rsid w:val="00A43E7A"/>
    <w:rsid w:val="00A46ED3"/>
    <w:rsid w:val="00A504E1"/>
    <w:rsid w:val="00A609E7"/>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7A77"/>
    <w:rsid w:val="00B60EC5"/>
    <w:rsid w:val="00B630D8"/>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C6C16"/>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25EF9"/>
    <w:rsid w:val="00C279B4"/>
    <w:rsid w:val="00C30183"/>
    <w:rsid w:val="00C316FC"/>
    <w:rsid w:val="00C3644F"/>
    <w:rsid w:val="00C36666"/>
    <w:rsid w:val="00C43AAC"/>
    <w:rsid w:val="00C460D8"/>
    <w:rsid w:val="00C52B1A"/>
    <w:rsid w:val="00C5322B"/>
    <w:rsid w:val="00C61B8C"/>
    <w:rsid w:val="00C640A4"/>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06A30"/>
    <w:rsid w:val="00D14A9D"/>
    <w:rsid w:val="00D17A30"/>
    <w:rsid w:val="00D225CC"/>
    <w:rsid w:val="00D22682"/>
    <w:rsid w:val="00D240C3"/>
    <w:rsid w:val="00D2786B"/>
    <w:rsid w:val="00D32849"/>
    <w:rsid w:val="00D330C1"/>
    <w:rsid w:val="00D33DD9"/>
    <w:rsid w:val="00D434A7"/>
    <w:rsid w:val="00D46724"/>
    <w:rsid w:val="00D517A4"/>
    <w:rsid w:val="00D51C7E"/>
    <w:rsid w:val="00D549F4"/>
    <w:rsid w:val="00D64101"/>
    <w:rsid w:val="00D66180"/>
    <w:rsid w:val="00D83B8A"/>
    <w:rsid w:val="00D8773C"/>
    <w:rsid w:val="00D87D0A"/>
    <w:rsid w:val="00D911B7"/>
    <w:rsid w:val="00D93082"/>
    <w:rsid w:val="00D97139"/>
    <w:rsid w:val="00DA05BA"/>
    <w:rsid w:val="00DA0ABA"/>
    <w:rsid w:val="00DA388D"/>
    <w:rsid w:val="00DC0253"/>
    <w:rsid w:val="00DC4F70"/>
    <w:rsid w:val="00DC753D"/>
    <w:rsid w:val="00DD0CD4"/>
    <w:rsid w:val="00DE3C11"/>
    <w:rsid w:val="00DF04F0"/>
    <w:rsid w:val="00DF44B6"/>
    <w:rsid w:val="00E128DF"/>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6A6A"/>
    <w:rsid w:val="00F07EE2"/>
    <w:rsid w:val="00F1778E"/>
    <w:rsid w:val="00F17A90"/>
    <w:rsid w:val="00F205A9"/>
    <w:rsid w:val="00F233FF"/>
    <w:rsid w:val="00F27C45"/>
    <w:rsid w:val="00F33C45"/>
    <w:rsid w:val="00F36AE6"/>
    <w:rsid w:val="00F46873"/>
    <w:rsid w:val="00F4786D"/>
    <w:rsid w:val="00F504CC"/>
    <w:rsid w:val="00F50E8B"/>
    <w:rsid w:val="00F60220"/>
    <w:rsid w:val="00F76A8F"/>
    <w:rsid w:val="00F77C8A"/>
    <w:rsid w:val="00F86AAA"/>
    <w:rsid w:val="00F9055E"/>
    <w:rsid w:val="00F91683"/>
    <w:rsid w:val="00FA17FC"/>
    <w:rsid w:val="00FB17AC"/>
    <w:rsid w:val="00FC622D"/>
    <w:rsid w:val="00FD5083"/>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rsid w:val="001951FE"/>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paragraph" w:customStyle="1" w:styleId="Default">
    <w:name w:val="Default"/>
    <w:rsid w:val="0092504E"/>
    <w:pPr>
      <w:autoSpaceDE w:val="0"/>
      <w:autoSpaceDN w:val="0"/>
      <w:adjustRightInd w:val="0"/>
    </w:pPr>
    <w:rPr>
      <w:rFonts w:ascii="Minion Pro" w:hAnsi="Minion Pro" w:cs="Minion Pro"/>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3C112-D456-4DB8-B078-D09E73098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1648</Words>
  <Characters>9395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11021</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Biljana Trtica</cp:lastModifiedBy>
  <cp:revision>10</cp:revision>
  <cp:lastPrinted>2024-06-14T12:45:00Z</cp:lastPrinted>
  <dcterms:created xsi:type="dcterms:W3CDTF">2025-07-24T10:42:00Z</dcterms:created>
  <dcterms:modified xsi:type="dcterms:W3CDTF">2025-09-30T10:35:00Z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2023-04-04T08:24:05Z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e2b06f07-c8cb-47fd-ac19-36a976675b57</vt:lpwstr>
  </property>
  <property fmtid="{D5CDD505-2E9C-101B-9397-08002B2CF9AE}" pid="10" name="MSIP_Label_6bd9ddd1-4d20-43f6-abfa-fc3c07406f94_ContentBits">
    <vt:lpwstr>0</vt:lpwstr>
  </property>
</Properties>
</file>